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23" w:rsidRDefault="00026E23" w:rsidP="00026E23">
      <w:pPr>
        <w:spacing w:after="0" w:line="240" w:lineRule="auto"/>
        <w:jc w:val="center"/>
        <w:rPr>
          <w:b/>
          <w:smallCaps/>
          <w:color w:val="222222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9450" cy="679450"/>
            <wp:effectExtent l="19050" t="0" r="6350" b="0"/>
            <wp:docPr id="4" name="Picture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23" w:rsidRPr="00DE782E" w:rsidRDefault="00026E23" w:rsidP="00026E23">
      <w:pPr>
        <w:spacing w:after="0"/>
        <w:jc w:val="center"/>
        <w:rPr>
          <w:rFonts w:ascii="Times New Roman Tj" w:hAnsi="Times New Roman Tj"/>
          <w:b/>
          <w:sz w:val="32"/>
          <w:szCs w:val="28"/>
          <w:lang w:val="tg-Cyrl-TJ"/>
        </w:rPr>
      </w:pPr>
      <w:r w:rsidRPr="00DE782E">
        <w:rPr>
          <w:rFonts w:ascii="Times New Roman Tj" w:hAnsi="Times New Roman Tj"/>
          <w:b/>
          <w:sz w:val="32"/>
          <w:szCs w:val="28"/>
          <w:lang w:val="tg-Cyrl-TJ"/>
        </w:rPr>
        <w:t xml:space="preserve">ВАЗОРАТИ РУШДИ ИЌТИСОД ВА САВДОИ </w:t>
      </w:r>
    </w:p>
    <w:p w:rsidR="00026E23" w:rsidRDefault="00026E23" w:rsidP="00026E23">
      <w:pPr>
        <w:spacing w:after="0"/>
        <w:jc w:val="center"/>
        <w:rPr>
          <w:rFonts w:ascii="Times New Roman Tj" w:hAnsi="Times New Roman Tj"/>
          <w:b/>
          <w:sz w:val="32"/>
          <w:szCs w:val="28"/>
          <w:lang w:val="tg-Cyrl-TJ"/>
        </w:rPr>
      </w:pPr>
      <w:r w:rsidRPr="00DE782E">
        <w:rPr>
          <w:rFonts w:ascii="Times New Roman Tj" w:hAnsi="Times New Roman Tj"/>
          <w:b/>
          <w:sz w:val="32"/>
          <w:szCs w:val="28"/>
          <w:lang w:val="tg-Cyrl-TJ"/>
        </w:rPr>
        <w:t>ЉУМЊУРИИ ТОЉИКИСТОН</w:t>
      </w:r>
    </w:p>
    <w:p w:rsidR="00026E23" w:rsidRPr="006D4D82" w:rsidRDefault="00026E23" w:rsidP="00026E23">
      <w:pPr>
        <w:spacing w:after="0"/>
        <w:jc w:val="center"/>
        <w:rPr>
          <w:rFonts w:ascii="Times New Roman Tj" w:hAnsi="Times New Roman Tj"/>
          <w:b/>
          <w:sz w:val="20"/>
          <w:szCs w:val="28"/>
          <w:lang w:val="tg-Cyrl-TJ"/>
        </w:rPr>
      </w:pPr>
    </w:p>
    <w:p w:rsidR="00026E23" w:rsidRPr="00AC39E7" w:rsidRDefault="00026E23" w:rsidP="00026E23">
      <w:pPr>
        <w:spacing w:after="0" w:line="36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Ќ</w:t>
      </w:r>
      <w:r w:rsidRPr="00AC39E7">
        <w:rPr>
          <w:rFonts w:ascii="Times New Roman Tj" w:hAnsi="Times New Roman Tj"/>
          <w:b/>
          <w:sz w:val="28"/>
          <w:szCs w:val="28"/>
          <w:lang w:val="tg-Cyrl-TJ"/>
        </w:rPr>
        <w:t>арори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Њукумати Љумњурии Тољикистон</w:t>
      </w:r>
      <w:r w:rsidRPr="00AC39E7">
        <w:rPr>
          <w:rFonts w:ascii="Times New Roman Tj" w:hAnsi="Times New Roman Tj"/>
          <w:b/>
          <w:sz w:val="28"/>
          <w:szCs w:val="28"/>
          <w:lang w:val="tg-Cyrl-TJ"/>
        </w:rPr>
        <w:t xml:space="preserve"> «Дар бораи Наќшаи чорабинињо оид ба њамоњангсозии амалишавии сиёсати макроиќтисодї ва пешгирии таъсири хавфњои эњтимолї ба иќтисодиёти миллї»</w:t>
      </w:r>
      <w:r>
        <w:rPr>
          <w:rFonts w:ascii="Times New Roman Tj" w:hAnsi="Times New Roman Tj"/>
          <w:b/>
          <w:sz w:val="28"/>
          <w:szCs w:val="28"/>
          <w:lang w:val="tg-Cyrl-TJ"/>
        </w:rPr>
        <w:t xml:space="preserve"> ќабул гардид</w:t>
      </w:r>
      <w:r w:rsidRPr="00AC39E7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</w:p>
    <w:p w:rsidR="00026E23" w:rsidRPr="00A94967" w:rsidRDefault="00026E23" w:rsidP="00026E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 Tj" w:hAnsi="Times New Roman Tj"/>
          <w:sz w:val="18"/>
          <w:szCs w:val="28"/>
          <w:lang w:val="tg-Cyrl-TJ"/>
        </w:rPr>
      </w:pPr>
    </w:p>
    <w:p w:rsidR="00026E23" w:rsidRDefault="00026E23" w:rsidP="00026E23">
      <w:pPr>
        <w:spacing w:after="0" w:line="36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</w:t>
      </w:r>
      <w:r w:rsidRPr="008E26E2">
        <w:rPr>
          <w:rFonts w:ascii="Times New Roman Tj" w:hAnsi="Times New Roman Tj"/>
          <w:sz w:val="28"/>
          <w:szCs w:val="28"/>
          <w:lang w:val="tg-Cyrl-TJ"/>
        </w:rPr>
        <w:t>арори Њукумати Љумњурии Тољикистон аз 30 ноябри соли 2018, №557 «Дар бораи Наќшаи чорабинињо оид ба њамоњангсозии амалишавии сиёсати макроиќтисодї ва пешгирии таъсири хавфњои эњтимолї ба иќтисодиёти миллї»</w:t>
      </w:r>
      <w:r w:rsidRPr="00F62560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F62560">
        <w:rPr>
          <w:rFonts w:ascii="Times New Roman Tj" w:hAnsi="Times New Roman Tj"/>
          <w:sz w:val="28"/>
          <w:szCs w:val="28"/>
          <w:lang w:val="tg-Cyrl-TJ"/>
        </w:rPr>
        <w:t>ќабул гардид.</w:t>
      </w:r>
      <w:r w:rsidRPr="00AC39E7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:rsidR="00026E23" w:rsidRDefault="00026E23" w:rsidP="00026E23">
      <w:pPr>
        <w:spacing w:after="0" w:line="36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Ќ</w:t>
      </w:r>
      <w:r w:rsidRPr="00136B79">
        <w:rPr>
          <w:rFonts w:ascii="Times New Roman Tj" w:hAnsi="Times New Roman Tj"/>
          <w:sz w:val="28"/>
          <w:szCs w:val="28"/>
          <w:lang w:val="tg-Cyrl-TJ"/>
        </w:rPr>
        <w:t xml:space="preserve">арори мазкур бо маќсади </w:t>
      </w:r>
      <w:r w:rsidRPr="004831FA">
        <w:rPr>
          <w:rFonts w:ascii="Times New Roman Tj" w:hAnsi="Times New Roman Tj"/>
          <w:sz w:val="28"/>
          <w:szCs w:val="28"/>
          <w:lang w:val="tg-Cyrl-TJ"/>
        </w:rPr>
        <w:t>њамоњангсозии татбиќи сиёсати макроиќтисодї дар самтњои буљету андоз, пулию ќарзї, бахши воќеї, тавозуни пардохт ва пешгирии таъсири хавфњои эњтимолї ба иќтисодиёти миллї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дар љавоб ба</w:t>
      </w:r>
      <w:r w:rsidRPr="004831FA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36B79">
        <w:rPr>
          <w:rFonts w:ascii="Times New Roman Tj" w:hAnsi="Times New Roman Tj"/>
          <w:sz w:val="28"/>
          <w:szCs w:val="28"/>
          <w:lang w:val="tg-Cyrl-TJ"/>
        </w:rPr>
        <w:t>таъсири воќеањои глобалии љањонї, бахусус тањримњои сиёсию иќтисодии давлатњои алоњида нисбат ба якдигар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ва шарикони тиљоратиамон</w:t>
      </w:r>
      <w:r w:rsidRPr="004831FA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>ќабул</w:t>
      </w:r>
      <w:r w:rsidRPr="00136B79">
        <w:rPr>
          <w:rFonts w:ascii="Times New Roman Tj" w:hAnsi="Times New Roman Tj"/>
          <w:sz w:val="28"/>
          <w:szCs w:val="28"/>
          <w:lang w:val="tg-Cyrl-TJ"/>
        </w:rPr>
        <w:t xml:space="preserve"> гардидааст.</w:t>
      </w:r>
    </w:p>
    <w:p w:rsidR="00026E23" w:rsidRPr="008E26E2" w:rsidRDefault="00026E23" w:rsidP="00026E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Тадбирњои н</w:t>
      </w:r>
      <w:r w:rsidRPr="008E26E2">
        <w:rPr>
          <w:rFonts w:ascii="Times New Roman Tj" w:hAnsi="Times New Roman Tj"/>
          <w:sz w:val="28"/>
          <w:szCs w:val="28"/>
          <w:lang w:val="tg-Cyrl-TJ"/>
        </w:rPr>
        <w:t>аќша</w:t>
      </w:r>
      <w:r>
        <w:rPr>
          <w:rFonts w:ascii="Times New Roman Tj" w:hAnsi="Times New Roman Tj"/>
          <w:sz w:val="28"/>
          <w:szCs w:val="28"/>
          <w:lang w:val="tg-Cyrl-TJ"/>
        </w:rPr>
        <w:t>-</w:t>
      </w:r>
      <w:r w:rsidRPr="008E26E2">
        <w:rPr>
          <w:rFonts w:ascii="Times New Roman Tj" w:hAnsi="Times New Roman Tj"/>
          <w:sz w:val="28"/>
          <w:szCs w:val="28"/>
          <w:lang w:val="tg-Cyrl-TJ"/>
        </w:rPr>
        <w:t>чорабинињо</w:t>
      </w:r>
      <w:r>
        <w:rPr>
          <w:rFonts w:ascii="Times New Roman Tj" w:hAnsi="Times New Roman Tj"/>
          <w:sz w:val="28"/>
          <w:szCs w:val="28"/>
          <w:lang w:val="tg-Cyrl-TJ"/>
        </w:rPr>
        <w:t xml:space="preserve">и ин санад </w:t>
      </w:r>
      <w:r w:rsidRPr="008E26E2">
        <w:rPr>
          <w:rFonts w:ascii="Times New Roman Tj" w:hAnsi="Times New Roman Tj"/>
          <w:sz w:val="28"/>
          <w:szCs w:val="28"/>
          <w:lang w:val="tg-Cyrl-TJ"/>
        </w:rPr>
        <w:t>аз 4 ќисм ва 24 банд иборат буда</w:t>
      </w:r>
      <w:r>
        <w:rPr>
          <w:rFonts w:ascii="Times New Roman Tj" w:hAnsi="Times New Roman Tj"/>
          <w:sz w:val="28"/>
          <w:szCs w:val="28"/>
          <w:lang w:val="tg-Cyrl-TJ"/>
        </w:rPr>
        <w:t>,</w:t>
      </w:r>
      <w:r w:rsidRPr="008E26E2">
        <w:rPr>
          <w:rFonts w:ascii="Times New Roman Tj" w:hAnsi="Times New Roman Tj"/>
          <w:sz w:val="28"/>
          <w:szCs w:val="28"/>
          <w:lang w:val="tg-Cyrl-TJ"/>
        </w:rPr>
        <w:t xml:space="preserve"> самтњои  зеринро дар бар мегира</w:t>
      </w:r>
      <w:r>
        <w:rPr>
          <w:rFonts w:ascii="Times New Roman Tj" w:hAnsi="Times New Roman Tj"/>
          <w:sz w:val="28"/>
          <w:szCs w:val="28"/>
          <w:lang w:val="tg-Cyrl-TJ"/>
        </w:rPr>
        <w:t>н</w:t>
      </w:r>
      <w:r w:rsidRPr="008E26E2">
        <w:rPr>
          <w:rFonts w:ascii="Times New Roman Tj" w:hAnsi="Times New Roman Tj"/>
          <w:sz w:val="28"/>
          <w:szCs w:val="28"/>
          <w:lang w:val="tg-Cyrl-TJ"/>
        </w:rPr>
        <w:t>д:</w:t>
      </w:r>
    </w:p>
    <w:p w:rsidR="00026E23" w:rsidRPr="008E26E2" w:rsidRDefault="00026E23" w:rsidP="00026E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8E26E2">
        <w:rPr>
          <w:rFonts w:ascii="Times New Roman Tj" w:hAnsi="Times New Roman Tj"/>
          <w:sz w:val="28"/>
          <w:szCs w:val="28"/>
          <w:lang w:val="tg-Cyrl-TJ"/>
        </w:rPr>
        <w:t xml:space="preserve">1.Дар сатњи муътадил нигоњ доштани нишондињандањои асосии макроиќтисодї; </w:t>
      </w:r>
    </w:p>
    <w:p w:rsidR="00026E23" w:rsidRPr="008E26E2" w:rsidRDefault="00026E23" w:rsidP="00026E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8E26E2">
        <w:rPr>
          <w:rFonts w:ascii="Times New Roman Tj" w:hAnsi="Times New Roman Tj"/>
          <w:sz w:val="28"/>
          <w:szCs w:val="28"/>
          <w:lang w:val="tg-Cyrl-TJ"/>
        </w:rPr>
        <w:t>2.Таъмини фаъолияти устувори корхонањои давлатї ва бонкњои мушкилотдор;</w:t>
      </w:r>
    </w:p>
    <w:p w:rsidR="00026E23" w:rsidRPr="008E26E2" w:rsidRDefault="00026E23" w:rsidP="00026E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8E26E2">
        <w:rPr>
          <w:rFonts w:ascii="Times New Roman Tj" w:hAnsi="Times New Roman Tj"/>
          <w:sz w:val="28"/>
          <w:szCs w:val="28"/>
          <w:lang w:val="tg-Cyrl-TJ"/>
        </w:rPr>
        <w:t xml:space="preserve">3.Таќвияти фаъолият дар самти бењтар гардидани фазои сармоягузорї ва рушди соњибкорї; </w:t>
      </w:r>
    </w:p>
    <w:p w:rsidR="00026E23" w:rsidRDefault="00026E23" w:rsidP="00026E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8E26E2">
        <w:rPr>
          <w:rFonts w:ascii="Times New Roman Tj" w:hAnsi="Times New Roman Tj"/>
          <w:sz w:val="28"/>
          <w:szCs w:val="28"/>
          <w:lang w:val="tg-Cyrl-TJ"/>
        </w:rPr>
        <w:t xml:space="preserve">4.Таъмини иљрои сариваќтии Наќшаи чорабинињо оид ба њамоњангсозии </w:t>
      </w:r>
      <w:r>
        <w:rPr>
          <w:rFonts w:ascii="Times New Roman Tj" w:hAnsi="Times New Roman Tj"/>
          <w:sz w:val="28"/>
          <w:szCs w:val="28"/>
          <w:lang w:val="tg-Cyrl-TJ"/>
        </w:rPr>
        <w:t>амалишавии</w:t>
      </w:r>
      <w:r w:rsidRPr="008E26E2">
        <w:rPr>
          <w:rFonts w:ascii="Times New Roman Tj" w:hAnsi="Times New Roman Tj"/>
          <w:sz w:val="28"/>
          <w:szCs w:val="28"/>
          <w:lang w:val="tg-Cyrl-TJ"/>
        </w:rPr>
        <w:t xml:space="preserve"> сиёсати макроиќтисодї ва пешгирии таъсири хавфњои эњтимолї ба иќтисодиёти миллї.</w:t>
      </w:r>
    </w:p>
    <w:p w:rsidR="00A36B93" w:rsidRPr="00026E23" w:rsidRDefault="00A36B93">
      <w:pPr>
        <w:rPr>
          <w:lang w:val="tg-Cyrl-TJ"/>
        </w:rPr>
      </w:pPr>
    </w:p>
    <w:sectPr w:rsidR="00A36B93" w:rsidRPr="0002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6E23"/>
    <w:rsid w:val="00026E23"/>
    <w:rsid w:val="00A3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Фирдавс</dc:creator>
  <cp:keywords/>
  <dc:description/>
  <cp:lastModifiedBy>Фирдавс</cp:lastModifiedBy>
  <cp:revision>2</cp:revision>
  <dcterms:created xsi:type="dcterms:W3CDTF">2019-02-28T00:24:00Z</dcterms:created>
  <dcterms:modified xsi:type="dcterms:W3CDTF">2019-02-28T00:25:00Z</dcterms:modified>
</cp:coreProperties>
</file>