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C2" w:rsidRPr="00D30C28" w:rsidRDefault="00040FC2" w:rsidP="00040FC2">
      <w:pPr>
        <w:ind w:firstLine="709"/>
        <w:jc w:val="both"/>
        <w:rPr>
          <w:rFonts w:ascii="Times New Roman Tj" w:hAnsi="Times New Roman Tj" w:cs="Times New Roman"/>
          <w:b/>
          <w:sz w:val="28"/>
          <w:szCs w:val="28"/>
        </w:rPr>
      </w:pPr>
      <w:r w:rsidRPr="00D30C28">
        <w:rPr>
          <w:rFonts w:ascii="Times New Roman Tj" w:hAnsi="Times New Roman Tj" w:cs="Times New Roman"/>
          <w:b/>
          <w:sz w:val="28"/>
          <w:szCs w:val="28"/>
        </w:rPr>
        <w:t>О промышленности</w:t>
      </w:r>
    </w:p>
    <w:p w:rsidR="00040FC2" w:rsidRPr="00D30C28" w:rsidRDefault="00040FC2" w:rsidP="00040FC2">
      <w:pPr>
        <w:ind w:firstLine="709"/>
        <w:jc w:val="both"/>
        <w:rPr>
          <w:rFonts w:ascii="Times New Roman Tj" w:hAnsi="Times New Roman Tj" w:cs="Times New Roman"/>
          <w:sz w:val="28"/>
          <w:szCs w:val="28"/>
        </w:rPr>
      </w:pPr>
      <w:r w:rsidRPr="00D30C28">
        <w:rPr>
          <w:rFonts w:ascii="Times New Roman Tj" w:hAnsi="Times New Roman Tj" w:cs="Times New Roman"/>
          <w:sz w:val="28"/>
          <w:szCs w:val="28"/>
        </w:rPr>
        <w:t xml:space="preserve"> Объем производства промышленной продукции достиг 10,4 млрд. Темп роста по сравнению с аналогичным периодом прошлого года составил 16,9%, включая добывающую промышленность - 2,3 млрд. </w:t>
      </w:r>
      <w:proofErr w:type="spellStart"/>
      <w:r w:rsidRPr="00D30C28">
        <w:rPr>
          <w:rFonts w:ascii="Times New Roman Tj" w:hAnsi="Times New Roman Tj" w:cs="Times New Roman"/>
          <w:sz w:val="28"/>
          <w:szCs w:val="28"/>
        </w:rPr>
        <w:t>сомони</w:t>
      </w:r>
      <w:proofErr w:type="spellEnd"/>
      <w:r w:rsidRPr="00D30C28">
        <w:rPr>
          <w:rFonts w:ascii="Times New Roman Tj" w:hAnsi="Times New Roman Tj" w:cs="Times New Roman"/>
          <w:sz w:val="28"/>
          <w:szCs w:val="28"/>
        </w:rPr>
        <w:t xml:space="preserve"> (19,7%), обрабатывающую промышленность - 5,9 </w:t>
      </w:r>
      <w:proofErr w:type="spellStart"/>
      <w:r w:rsidRPr="00D30C28">
        <w:rPr>
          <w:rFonts w:ascii="Times New Roman Tj" w:hAnsi="Times New Roman Tj" w:cs="Times New Roman"/>
          <w:sz w:val="28"/>
          <w:szCs w:val="28"/>
        </w:rPr>
        <w:t>млрдСомони</w:t>
      </w:r>
      <w:proofErr w:type="spellEnd"/>
      <w:r w:rsidRPr="00D30C28">
        <w:rPr>
          <w:rFonts w:ascii="Times New Roman Tj" w:hAnsi="Times New Roman Tj" w:cs="Times New Roman"/>
          <w:sz w:val="28"/>
          <w:szCs w:val="28"/>
        </w:rPr>
        <w:t xml:space="preserve"> (22,2%), а также производство и распределение электроэнергии, газа, отопления и водоснабжения до 2,3 млрд. </w:t>
      </w:r>
      <w:proofErr w:type="spellStart"/>
      <w:r w:rsidRPr="00D30C28">
        <w:rPr>
          <w:rFonts w:ascii="Times New Roman Tj" w:hAnsi="Times New Roman Tj" w:cs="Times New Roman"/>
          <w:sz w:val="28"/>
          <w:szCs w:val="28"/>
        </w:rPr>
        <w:t>сомони</w:t>
      </w:r>
      <w:proofErr w:type="spellEnd"/>
      <w:r w:rsidRPr="00D30C28">
        <w:rPr>
          <w:rFonts w:ascii="Times New Roman Tj" w:hAnsi="Times New Roman Tj" w:cs="Times New Roman"/>
          <w:sz w:val="28"/>
          <w:szCs w:val="28"/>
        </w:rPr>
        <w:t xml:space="preserve"> (4,0%). </w:t>
      </w: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D30C28">
        <w:rPr>
          <w:rFonts w:ascii="Times New Roman Tj" w:hAnsi="Times New Roman Tj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457200</wp:posOffset>
            </wp:positionV>
            <wp:extent cx="5900420" cy="2918460"/>
            <wp:effectExtent l="19050" t="0" r="24130" b="0"/>
            <wp:wrapNone/>
            <wp:docPr id="6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Pr="00D30C28">
        <w:rPr>
          <w:rFonts w:ascii="Times New Roman Tj" w:hAnsi="Times New Roman Tj" w:cs="Times New Roman"/>
          <w:b/>
          <w:sz w:val="28"/>
          <w:szCs w:val="28"/>
        </w:rPr>
        <w:t>Номинальный объем и фактический рост промышленности в первых полугодиях 2014-2018 годов.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ind w:firstLine="709"/>
        <w:jc w:val="both"/>
        <w:rPr>
          <w:rFonts w:ascii="Times New Roman Tj" w:hAnsi="Times New Roman Tj" w:cs="Times New Roman"/>
          <w:sz w:val="28"/>
          <w:szCs w:val="28"/>
        </w:rPr>
      </w:pPr>
    </w:p>
    <w:p w:rsidR="00040FC2" w:rsidRPr="00D30C28" w:rsidRDefault="00040FC2" w:rsidP="00040FC2">
      <w:pPr>
        <w:ind w:firstLine="709"/>
        <w:jc w:val="both"/>
        <w:rPr>
          <w:rFonts w:ascii="Times New Roman Tj" w:hAnsi="Times New Roman Tj" w:cs="Times New Roman"/>
          <w:sz w:val="28"/>
          <w:szCs w:val="28"/>
        </w:rPr>
      </w:pPr>
      <w:r w:rsidRPr="00D30C28">
        <w:rPr>
          <w:rFonts w:ascii="Times New Roman Tj" w:hAnsi="Times New Roman Tj" w:cs="Times New Roman"/>
          <w:sz w:val="28"/>
          <w:szCs w:val="28"/>
        </w:rPr>
        <w:t>За отчетный период доля обрабатывающей промышленности в общем объеме производства промышленной продукции увеличилась на 56,6%, горнодобывающей промышленности - на 21,7%, производства и распределения электроэнергии, газа и воды - на 21,7%.</w:t>
      </w: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D30C28">
        <w:rPr>
          <w:rFonts w:ascii="Times New Roman Tj" w:hAnsi="Times New Roman Tj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-175946</wp:posOffset>
            </wp:positionH>
            <wp:positionV relativeFrom="paragraph">
              <wp:posOffset>467360</wp:posOffset>
            </wp:positionV>
            <wp:extent cx="6275223" cy="3108960"/>
            <wp:effectExtent l="19050" t="0" r="11277" b="0"/>
            <wp:wrapNone/>
            <wp:docPr id="9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 w:rsidRPr="00D30C28">
        <w:rPr>
          <w:rFonts w:ascii="Times New Roman Tj" w:hAnsi="Times New Roman Tj" w:cs="Times New Roman"/>
          <w:b/>
          <w:sz w:val="28"/>
          <w:szCs w:val="28"/>
        </w:rPr>
        <w:t>Развитие отраслей промышленности в первых полугодиях  в 2014-2018 гг. (в процентах)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D30C28">
        <w:rPr>
          <w:rFonts w:ascii="Times New Roman Tj" w:hAnsi="Times New Roman Tj" w:cs="Times New Roman"/>
          <w:b/>
          <w:sz w:val="28"/>
          <w:szCs w:val="28"/>
        </w:rPr>
        <w:t>Тенденции в подсекторах перерабатывающей промышленности в первых полугодиях 2018 года (в процентах)</w:t>
      </w:r>
    </w:p>
    <w:p w:rsidR="00040FC2" w:rsidRPr="00D30C28" w:rsidRDefault="00040FC2" w:rsidP="00040FC2">
      <w:pPr>
        <w:jc w:val="center"/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32385</wp:posOffset>
            </wp:positionV>
            <wp:extent cx="5949950" cy="2384425"/>
            <wp:effectExtent l="19050" t="0" r="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23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Из 162 наиболее важных промышленных товаров, производимых в стране, объем производства списка 116 (71,6 процента), в том числе детские игрушки (в 30 раз), полиэтиленовые пакеты для упаковки сырья (6,9 раза), бетонные плитки (6.8 раза), клей (в 5,1 раза), мясные и растительные консервы (в 4,9 раза), типографические продукты (4 раза), клинкер (в 3,8 раза), влажные салфетки (в 3,4 раза), мыло (3 ферм, 4 раза), покрытие стеклянной тары (3,2 раза), алюминиевые отложения (3,1 раза), хлопковое волокно (2,8 раза), жиры (2,5 раза), (2,4 раза), печати и штампы (2,1 раза), бензина (84,5%),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пеноблок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(63,5%), цемент (53%), </w:t>
      </w:r>
      <w:r w:rsidRPr="00D30C28">
        <w:rPr>
          <w:rFonts w:ascii="Times New Roman Tj" w:hAnsi="Times New Roman Tj"/>
          <w:sz w:val="28"/>
          <w:szCs w:val="28"/>
        </w:rPr>
        <w:lastRenderedPageBreak/>
        <w:t>металлические трубы (44,5%), ковры и столярные изделия (33,6%), изделия из резины (32,8%), каменные зерна (31,5%), мебель (23,9%),  безалкогольные напитки (17,4%) и кондитерские изделия( 13,3%) по сравнению с аналогичным периодом прошлого года.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Восемь вида товаров, которые не были произведены в прошлом году (4,9%), в том числе шампанское,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кальцид</w:t>
      </w:r>
      <w:proofErr w:type="spellEnd"/>
      <w:r w:rsidRPr="00D30C28">
        <w:rPr>
          <w:rFonts w:ascii="Times New Roman Tj" w:hAnsi="Times New Roman Tj"/>
          <w:sz w:val="28"/>
          <w:szCs w:val="28"/>
        </w:rPr>
        <w:t>, криолит, фторид алюминия, коагулянта, мягкие кровельные материалы, ртуть и сельскохозяйственные машины, в этом году их производство были восстановлены.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b/>
          <w:sz w:val="28"/>
          <w:szCs w:val="28"/>
        </w:rPr>
        <w:t>Производство электроэнергии</w:t>
      </w:r>
      <w:r w:rsidRPr="00D30C28">
        <w:rPr>
          <w:rFonts w:ascii="Times New Roman Tj" w:hAnsi="Times New Roman Tj"/>
          <w:sz w:val="28"/>
          <w:szCs w:val="28"/>
        </w:rPr>
        <w:t>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  В первом полугодии 2018 года производство электроэнергии в стране составило 9500,1 млн. кВт. Этот показатель составил 358,3 млн. долларов США за аналогичный период прошлого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года.кВт</w:t>
      </w:r>
      <w:proofErr w:type="spellEnd"/>
      <w:r w:rsidRPr="00D30C28">
        <w:rPr>
          <w:rFonts w:ascii="Times New Roman Tj" w:hAnsi="Times New Roman Tj"/>
          <w:sz w:val="28"/>
          <w:szCs w:val="28"/>
        </w:rPr>
        <w:t>. обеспечивая 103,9% от общего числа.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В то же время производство электроэнергии в стране составляет 1678,0 млн. Он </w:t>
      </w:r>
      <w:r w:rsidRPr="00D30C28">
        <w:rPr>
          <w:rFonts w:ascii="Times New Roman Tj" w:hAnsi="Times New Roman Tj"/>
          <w:sz w:val="28"/>
          <w:szCs w:val="28"/>
          <w:lang w:val="en-US"/>
        </w:rPr>
        <w:t>c</w:t>
      </w:r>
      <w:r w:rsidRPr="00D30C28">
        <w:rPr>
          <w:rFonts w:ascii="Times New Roman Tj" w:hAnsi="Times New Roman Tj"/>
          <w:sz w:val="28"/>
          <w:szCs w:val="28"/>
        </w:rPr>
        <w:t xml:space="preserve">оставил 103,0% по сравнению с аналогичным периодом прошлого года. 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>За отчетный период производство электроэнергии в стране было зарегистрировано независимыми экспортерами страны: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- «ОАО» Барки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Точик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- 7662,1 млн. кВт. Производство электроэнергии было зарегистрировано за аналогичный период прошлого года и составило 69,0 млн. кВт. час и 99,1%; 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- «ГЭС Сангтуда-1»-1298,2 млн.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кВт.час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. Выработка электроэнергии составила 348,3 млн. Долл. США.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кВт.час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и на уровне 136,7%;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- «ГЭС - Сангтуда-2» - 444,3 млн. кВт. Час. Производство электроэнергии было зарегистрировано за аналогичный период прошлого года и составило 82,5 млн. Долларов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США.кВт</w:t>
      </w:r>
      <w:proofErr w:type="spellEnd"/>
      <w:r w:rsidRPr="00D30C28">
        <w:rPr>
          <w:rFonts w:ascii="Times New Roman Tj" w:hAnsi="Times New Roman Tj"/>
          <w:sz w:val="28"/>
          <w:szCs w:val="28"/>
        </w:rPr>
        <w:t>. часа и 122,8 %;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-В «Памир-Энергия» -95,5 млн.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кВт.час</w:t>
      </w:r>
      <w:proofErr w:type="spellEnd"/>
      <w:r w:rsidRPr="00D30C28">
        <w:rPr>
          <w:rFonts w:ascii="Times New Roman Tj" w:hAnsi="Times New Roman Tj"/>
          <w:sz w:val="28"/>
          <w:szCs w:val="28"/>
        </w:rPr>
        <w:t>. Производство электроэнергии увеличило этот показатель по сравнению с аналогичным периодом прошлого года 3,5млнкВт.часа и на уровне 96,5%.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Сбор продаж электроэнергии от внутренних абонентов через «Барки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Точик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» в первом полугодии текущего года составил 1031,3 млн.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сомони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. По сравнению с аналогичным периодом прошлого года составил 219,6 млн.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сомони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или 28,6%.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lastRenderedPageBreak/>
        <w:t xml:space="preserve">    Объем производства тепловой энергии за отчетный период достиг 332,2 тыс. Гкал, по сравнению с аналогичным периодом прошлого года в размере 106,1 тыс. Гкал и на уровне 146,9%.</w:t>
      </w:r>
    </w:p>
    <w:p w:rsidR="00040FC2" w:rsidRPr="00D30C28" w:rsidRDefault="00040FC2" w:rsidP="00040FC2">
      <w:pPr>
        <w:rPr>
          <w:rFonts w:ascii="Times New Roman Tj" w:hAnsi="Times New Roman Tj"/>
          <w:b/>
          <w:sz w:val="28"/>
          <w:szCs w:val="28"/>
        </w:rPr>
      </w:pPr>
      <w:r w:rsidRPr="00D30C28">
        <w:rPr>
          <w:rFonts w:ascii="Times New Roman Tj" w:hAnsi="Times New Roman Tj"/>
          <w:b/>
          <w:sz w:val="28"/>
          <w:szCs w:val="28"/>
        </w:rPr>
        <w:t>Об осенне-зимнем периоде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>Министерство экономического развития и торговли в соответствии с пунктом 2 постановления от 29 декабря 2017, 586, «По плану работы Правительства республики в первом полугодии 2018 года», и проект постановление Правительства Республики Таджикистан «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Посвоевременной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подготовке экономическим и социальным секторам республики для регулярной и эффективной работы в осенне-зимний период 2018-2019 годов» были утверждены и ратифицированы Правительством Республики Таджикистан 27 марта 2018 года № 147.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В целях реализации вышесказанного постановления от 29 министерств и ведомств и 17 исполнительных органов государственной власти, регионов, городов и районов республиканского подчинения подготовительном утверждения создать в осенне-зимний период 2018-2019 оперативного штаба и план действий, работы в это направление продолжаются.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b/>
          <w:sz w:val="28"/>
          <w:szCs w:val="28"/>
        </w:rPr>
        <w:t>Сельское хозяйство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Валовой сельскохозяйственный продукт республики за первое полугодие 2018 года составил 6,7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млрд.сомони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во всех видах хозяйств. Его реальный рост был обеспечен на уровне 8,5 %. В частности, сектор сельскохозяйственных культур вырос до 4,2 млрд.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сомони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и животноводческий сектор 2,5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млрдсомони</w:t>
      </w:r>
      <w:proofErr w:type="spellEnd"/>
      <w:r w:rsidRPr="00D30C28">
        <w:rPr>
          <w:rFonts w:ascii="Times New Roman Tj" w:hAnsi="Times New Roman Tj"/>
          <w:sz w:val="28"/>
          <w:szCs w:val="28"/>
        </w:rPr>
        <w:t>.</w:t>
      </w: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</w:p>
    <w:p w:rsidR="00040FC2" w:rsidRPr="00D30C28" w:rsidRDefault="00040FC2" w:rsidP="00040FC2">
      <w:pPr>
        <w:jc w:val="center"/>
        <w:rPr>
          <w:rFonts w:ascii="Times New Roman Tj" w:hAnsi="Times New Roman Tj" w:cs="Times New Roman"/>
          <w:b/>
          <w:sz w:val="28"/>
          <w:szCs w:val="28"/>
        </w:rPr>
      </w:pPr>
      <w:r w:rsidRPr="00D30C28">
        <w:rPr>
          <w:rFonts w:ascii="Times New Roman Tj" w:hAnsi="Times New Roman Tj" w:cs="Times New Roman"/>
          <w:b/>
          <w:sz w:val="28"/>
          <w:szCs w:val="28"/>
        </w:rPr>
        <w:lastRenderedPageBreak/>
        <w:t>Объем сельскохозяйственного производства и его развитие в первых полугодиях 2014-2018 годов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noProof/>
        </w:rPr>
        <w:drawing>
          <wp:inline distT="0" distB="0" distL="0" distR="0">
            <wp:extent cx="5515610" cy="2699385"/>
            <wp:effectExtent l="19050" t="0" r="0" b="0"/>
            <wp:docPr id="7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269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В течение первых шести месяцев 2018 года во всех видах хозяйств было произведено зерно  512,5 тысяч тонн, 217,4 тысячи тонн картофеля, 719,2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тонн овощей, в том числе лук, 401,4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тонн, 190,2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тонн, 101,4, виноград в 1,8 тысяч тонн, по сравнению с аналогичным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периодомпрошлого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года увеличилось производство картофеля 53,1%, 26,8% и овощей, в том числе лука 32,5%, 11,1%, 31,2 .Производство фруктов и виноградов увеличилось на 17,6 процента.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В целях эффективного использования орошаемых земель в  фермах и фермы страны, а также ожидания благоприятной погоды для посадки в соответствии со статистическими данными по состоянию на 1 июня 2018 Посева яровых культур в области 425,3 тысяч гектаров, в том числе 101,8 тысяч гектаров зерновых и зернобобовых видов, 208,8 тыс. Гектаров сельскохозяйственных культур, 28,0 тыс. Гектаров картофеля, 37,8 тыс. Га, 15,8 тыс. Га, 23,5 тыс. Гектаров и 9,6 тыс. Га других видов культурных культур , что по сравнению с аналогичным периодом прошлого года  увеличилась на 24,7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га, или 6,2 процента, бобовые посевной площади на 3,3%, 5,5% и кормовых культур и орошение снизилось на 0,9%.</w:t>
      </w:r>
    </w:p>
    <w:p w:rsidR="00040FC2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В отчетный период, сельскохозяйственные предприятия и фермы провели в 185724 гектаров хлопковых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семен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, хозяйств  посевной площади, по сравнению с аналогичным периодом прошлого года увеличился на 6,8 процента или 11745 га, в том числе 122590 га в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Хатлонской</w:t>
      </w:r>
      <w:proofErr w:type="spellEnd"/>
      <w:r w:rsidRPr="00D30C28">
        <w:rPr>
          <w:rFonts w:ascii="Times New Roman Tj" w:hAnsi="Times New Roman Tj"/>
          <w:sz w:val="28"/>
          <w:szCs w:val="28"/>
        </w:rPr>
        <w:t>, Согдийской области 56847 га и РРП В стране 6287 гектаров.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5"/>
        <w:gridCol w:w="1701"/>
        <w:gridCol w:w="1701"/>
        <w:gridCol w:w="1560"/>
        <w:gridCol w:w="1559"/>
      </w:tblGrid>
      <w:tr w:rsidR="00040FC2" w:rsidRPr="00D30C28" w:rsidTr="005068F1">
        <w:trPr>
          <w:trHeight w:val="851"/>
          <w:tblHeader/>
        </w:trPr>
        <w:tc>
          <w:tcPr>
            <w:tcW w:w="2835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lastRenderedPageBreak/>
              <w:t>Номгўй</w:t>
            </w:r>
            <w:proofErr w:type="spellEnd"/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contextualSpacing/>
              <w:jc w:val="both"/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t>Соли 2018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contextualSpacing/>
              <w:jc w:val="both"/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t>Соли 2017</w:t>
            </w:r>
          </w:p>
        </w:tc>
        <w:tc>
          <w:tcPr>
            <w:tcW w:w="1560" w:type="dxa"/>
            <w:vAlign w:val="center"/>
          </w:tcPr>
          <w:p w:rsidR="00040FC2" w:rsidRPr="00D30C28" w:rsidRDefault="00040FC2" w:rsidP="005068F1">
            <w:pPr>
              <w:pStyle w:val="a3"/>
              <w:contextualSpacing/>
              <w:jc w:val="both"/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t>Суръатиафзоиш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40FC2" w:rsidRPr="00D30C28" w:rsidRDefault="00040FC2" w:rsidP="005068F1">
            <w:pPr>
              <w:pStyle w:val="a3"/>
              <w:contextualSpacing/>
              <w:jc w:val="both"/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t>Фарќият</w:t>
            </w:r>
            <w:proofErr w:type="spellEnd"/>
            <w:r w:rsidRPr="00D30C28">
              <w:rPr>
                <w:rFonts w:ascii="Times New Roman Tj" w:hAnsi="Times New Roman Tj" w:cs="Arial"/>
                <w:b/>
                <w:sz w:val="32"/>
                <w:szCs w:val="32"/>
                <w:shd w:val="clear" w:color="auto" w:fill="FFFFFF"/>
              </w:rPr>
              <w:t xml:space="preserve"> +/-</w:t>
            </w:r>
          </w:p>
        </w:tc>
      </w:tr>
      <w:tr w:rsidR="00040FC2" w:rsidRPr="00D30C28" w:rsidTr="005068F1">
        <w:tc>
          <w:tcPr>
            <w:tcW w:w="2835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Майдони</w:t>
            </w:r>
            <w:proofErr w:type="spellEnd"/>
          </w:p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умумиикишти</w:t>
            </w:r>
            <w:proofErr w:type="spellEnd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 xml:space="preserve"> пахта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185724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173979</w:t>
            </w:r>
          </w:p>
        </w:tc>
        <w:tc>
          <w:tcPr>
            <w:tcW w:w="1560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106,8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11745</w:t>
            </w:r>
          </w:p>
        </w:tc>
      </w:tr>
      <w:tr w:rsidR="00040FC2" w:rsidRPr="00D30C28" w:rsidTr="005068F1">
        <w:tc>
          <w:tcPr>
            <w:tcW w:w="9356" w:type="dxa"/>
            <w:gridSpan w:val="5"/>
            <w:tcBorders>
              <w:right w:val="single" w:sz="4" w:space="0" w:color="auto"/>
            </w:tcBorders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 xml:space="preserve">     аз </w:t>
            </w:r>
            <w:proofErr w:type="spellStart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љумла</w:t>
            </w:r>
            <w:proofErr w:type="spellEnd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 xml:space="preserve">: </w:t>
            </w:r>
          </w:p>
        </w:tc>
      </w:tr>
      <w:tr w:rsidR="00040FC2" w:rsidRPr="00D30C28" w:rsidTr="005068F1">
        <w:tc>
          <w:tcPr>
            <w:tcW w:w="2835" w:type="dxa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ВилоятиХатлон</w:t>
            </w:r>
            <w:proofErr w:type="spellEnd"/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/>
                <w:sz w:val="32"/>
                <w:szCs w:val="32"/>
              </w:rPr>
              <w:t>122590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119550</w:t>
            </w:r>
          </w:p>
        </w:tc>
        <w:tc>
          <w:tcPr>
            <w:tcW w:w="1560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102,5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3040</w:t>
            </w:r>
          </w:p>
        </w:tc>
      </w:tr>
      <w:tr w:rsidR="00040FC2" w:rsidRPr="00D30C28" w:rsidTr="005068F1">
        <w:tc>
          <w:tcPr>
            <w:tcW w:w="2835" w:type="dxa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proofErr w:type="spellStart"/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ВилоятиСуѓд</w:t>
            </w:r>
            <w:proofErr w:type="spellEnd"/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/>
                <w:sz w:val="32"/>
                <w:szCs w:val="32"/>
              </w:rPr>
              <w:t>56847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50765</w:t>
            </w:r>
          </w:p>
        </w:tc>
        <w:tc>
          <w:tcPr>
            <w:tcW w:w="1560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112,0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6082</w:t>
            </w:r>
          </w:p>
        </w:tc>
      </w:tr>
      <w:tr w:rsidR="00040FC2" w:rsidRPr="00D30C28" w:rsidTr="005068F1">
        <w:tc>
          <w:tcPr>
            <w:tcW w:w="2835" w:type="dxa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 xml:space="preserve"> НТЉ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/>
                <w:sz w:val="32"/>
                <w:szCs w:val="32"/>
              </w:rPr>
              <w:t>6287</w:t>
            </w:r>
          </w:p>
        </w:tc>
        <w:tc>
          <w:tcPr>
            <w:tcW w:w="1701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ind w:firstLine="34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3663</w:t>
            </w:r>
          </w:p>
        </w:tc>
        <w:tc>
          <w:tcPr>
            <w:tcW w:w="1560" w:type="dxa"/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1,7 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40FC2" w:rsidRPr="00D30C28" w:rsidRDefault="00040FC2" w:rsidP="005068F1">
            <w:pPr>
              <w:pStyle w:val="a3"/>
              <w:spacing w:line="276" w:lineRule="auto"/>
              <w:contextualSpacing/>
              <w:jc w:val="both"/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</w:pPr>
            <w:r w:rsidRPr="00D30C28">
              <w:rPr>
                <w:rFonts w:ascii="Times New Roman Tj" w:hAnsi="Times New Roman Tj" w:cs="Arial"/>
                <w:sz w:val="32"/>
                <w:szCs w:val="32"/>
                <w:shd w:val="clear" w:color="auto" w:fill="FFFFFF"/>
              </w:rPr>
              <w:t>2624</w:t>
            </w:r>
          </w:p>
        </w:tc>
      </w:tr>
    </w:tbl>
    <w:p w:rsidR="00040FC2" w:rsidRDefault="00040FC2" w:rsidP="00040FC2">
      <w:pPr>
        <w:rPr>
          <w:rFonts w:ascii="Times New Roman Tj" w:hAnsi="Times New Roman Tj"/>
          <w:sz w:val="28"/>
          <w:szCs w:val="28"/>
        </w:rPr>
      </w:pPr>
      <w:bookmarkStart w:id="0" w:name="_GoBack"/>
      <w:bookmarkEnd w:id="0"/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В отчетный период было проведено с целью эффективного и рационального использования пахотных земель и получение двух или более от приобретения земли по запоздалой стране Сообщества после уборки урожая в области 54744.5 га повторного посева культур, что в целом по сравнению с аналогичным периодом предыдущего года составляет менее 1199 гектаров или 2,1%, а план составляет менее 29,2%. В том числе бобовые виды, включая кукурузу на Дон 25096 га в соответствующем периоде предыдущего года (27042.5 га), 1663 га (1328 га) посевов технических, 22,0 га (35,4 га) картофеля, овощей 4581.5 га ( 3822 га), 3094 гектара (2574 гектара) и 20288 гектаров сельскохозяйственных культур (21141 га). 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Одним из способов увеличения экспортного потенциала страны является интеграция в новые сады и виноградники. В то же время будет построен в целях реализации решения правительства от 30 декабря 2015, №793 «По программе разработки месторождения и винограда в Республике Таджикистан на 2016-2020 годы», согласно статистическим данным по состоянию на 1 июня 2018 года в области 2416 га садов и виноградников , Общая площадь садов и виноградников составляет 2272 гектара, 142 гектара виноградников, 2090 гектаров построены в укропных павильонах.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  Согласно статистическим данным, по состоянию на 1 июля 2018 года, 2310.4 тысяч голов крупного рогатого скота, в том числе 1193.8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коров, 5731.9 </w:t>
      </w:r>
      <w:proofErr w:type="spellStart"/>
      <w:r w:rsidRPr="00D30C28">
        <w:rPr>
          <w:rFonts w:ascii="Times New Roman Tj" w:hAnsi="Times New Roman Tj"/>
          <w:sz w:val="28"/>
          <w:szCs w:val="28"/>
        </w:rPr>
        <w:t>тыс</w:t>
      </w:r>
      <w:proofErr w:type="spellEnd"/>
      <w:r w:rsidRPr="00D30C28">
        <w:rPr>
          <w:rFonts w:ascii="Times New Roman Tj" w:hAnsi="Times New Roman Tj"/>
          <w:sz w:val="28"/>
          <w:szCs w:val="28"/>
        </w:rPr>
        <w:t xml:space="preserve"> овец и коз, 6031,9 тысячи и 92,7 тысячи птиц выращивают лошадей это происходит.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За этот период производство продукции животноводства, включая мясо, 70,3 тыс. Тонн, молока 354,2 тыс. Тонн, порошка 767,2 тонны и шерсти 4552,7 тонны, по сравнению с аналогичным периодом прошлого </w:t>
      </w:r>
      <w:r w:rsidRPr="00D30C28">
        <w:rPr>
          <w:rFonts w:ascii="Times New Roman Tj" w:hAnsi="Times New Roman Tj"/>
          <w:sz w:val="28"/>
          <w:szCs w:val="28"/>
        </w:rPr>
        <w:lastRenderedPageBreak/>
        <w:t>года, производство мяса 3,4 интерес, молоко увеличилось на 2,2%, а шерсть увеличилась на 2,2%.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  Производство яиц за отчетный период достигло 167,1 млн. Обломки были серыми, что увеличилось на 24% по сравнению с аналогичным периодом прошлого года.</w:t>
      </w:r>
    </w:p>
    <w:p w:rsidR="00040FC2" w:rsidRPr="00D30C28" w:rsidRDefault="00040FC2" w:rsidP="00040FC2">
      <w:pPr>
        <w:rPr>
          <w:rFonts w:ascii="Times New Roman Tj" w:hAnsi="Times New Roman Tj"/>
          <w:sz w:val="28"/>
          <w:szCs w:val="28"/>
        </w:rPr>
      </w:pPr>
      <w:r w:rsidRPr="00D30C28">
        <w:rPr>
          <w:rFonts w:ascii="Times New Roman Tj" w:hAnsi="Times New Roman Tj"/>
          <w:sz w:val="28"/>
          <w:szCs w:val="28"/>
        </w:rPr>
        <w:t xml:space="preserve">    По статистическим данным 1 июля 2018 года производство рыбы увеличилось до 404,5 тонн, что на 2,4% больше, чем за аналогичный период прошлого года.</w:t>
      </w:r>
    </w:p>
    <w:p w:rsidR="00040FC2" w:rsidRPr="00D30C28" w:rsidRDefault="00040FC2" w:rsidP="00040FC2">
      <w:pPr>
        <w:tabs>
          <w:tab w:val="left" w:pos="-284"/>
        </w:tabs>
        <w:jc w:val="both"/>
        <w:rPr>
          <w:rFonts w:ascii="Times New Roman Tj" w:hAnsi="Times New Roman Tj"/>
          <w:sz w:val="32"/>
          <w:szCs w:val="32"/>
        </w:rPr>
      </w:pPr>
    </w:p>
    <w:p w:rsidR="005679D1" w:rsidRDefault="005679D1"/>
    <w:sectPr w:rsidR="005679D1" w:rsidSect="0040787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Tj">
    <w:panose1 w:val="0202050305040509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040FC2"/>
    <w:rsid w:val="00040FC2"/>
    <w:rsid w:val="0056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,Основной"/>
    <w:link w:val="a4"/>
    <w:qFormat/>
    <w:rsid w:val="00040FC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aliases w:val="основной Знак,Основной Знак"/>
    <w:link w:val="a3"/>
    <w:locked/>
    <w:rsid w:val="00040FC2"/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4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0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160427377901377"/>
          <c:y val="4.0029662021035424E-2"/>
          <c:w val="0.80926746621649082"/>
          <c:h val="0.7241597075465479"/>
        </c:manualLayout>
      </c:layout>
      <c:barChart>
        <c:barDir val="col"/>
        <c:grouping val="clustered"/>
        <c:ser>
          <c:idx val="2"/>
          <c:order val="2"/>
          <c:tx>
            <c:strRef>
              <c:f>Лист1!$B$1</c:f>
              <c:strCache>
                <c:ptCount val="1"/>
                <c:pt idx="0">
                  <c:v>Объём производства промышленной продукции (млн.сом)</c:v>
                </c:pt>
              </c:strCache>
            </c:strRef>
          </c:tx>
          <c:spPr>
            <a:solidFill>
              <a:schemeClr val="accent3"/>
            </a:solidFill>
            <a:ln w="12924" cap="flat" cmpd="sng" algn="ctr">
              <a:solidFill>
                <a:schemeClr val="accent3">
                  <a:shade val="50000"/>
                </a:schemeClr>
              </a:solidFill>
              <a:prstDash val="solid"/>
            </a:ln>
            <a:effectLst/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4554.6000000000004</c:v>
                </c:pt>
                <c:pt idx="1">
                  <c:v>5415.4</c:v>
                </c:pt>
                <c:pt idx="2">
                  <c:v>6363.2</c:v>
                </c:pt>
                <c:pt idx="3">
                  <c:v>8552.4</c:v>
                </c:pt>
                <c:pt idx="4">
                  <c:v>10413.9</c:v>
                </c:pt>
              </c:numCache>
            </c:numRef>
          </c:val>
        </c:ser>
        <c:ser>
          <c:idx val="3"/>
          <c:order val="3"/>
          <c:tx>
            <c:strRef>
              <c:f>Лист1!$C$1</c:f>
              <c:strCache>
                <c:ptCount val="1"/>
                <c:pt idx="0">
                  <c:v>Рушди он (бо фоиз) </c:v>
                </c:pt>
              </c:strCache>
            </c:strRef>
          </c:tx>
          <c:spPr>
            <a:ln w="32211">
              <a:solidFill>
                <a:srgbClr val="0070C0"/>
              </a:solidFill>
            </a:ln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2.9</c:v>
                </c:pt>
                <c:pt idx="1">
                  <c:v>14.2</c:v>
                </c:pt>
                <c:pt idx="2">
                  <c:v>12.1</c:v>
                </c:pt>
                <c:pt idx="3">
                  <c:v>21.3</c:v>
                </c:pt>
                <c:pt idx="4">
                  <c:v>16.899999999999999</c:v>
                </c:pt>
              </c:numCache>
            </c:numRef>
          </c:val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Объём производства промышленной продукции (млн.сом)</c:v>
                </c:pt>
              </c:strCache>
            </c:strRef>
          </c:tx>
          <c:spPr>
            <a:solidFill>
              <a:schemeClr val="accent3"/>
            </a:solidFill>
            <a:ln w="12924" cap="flat" cmpd="sng" algn="ctr">
              <a:solidFill>
                <a:schemeClr val="accent3">
                  <a:shade val="50000"/>
                </a:schemeClr>
              </a:solidFill>
              <a:prstDash val="solid"/>
            </a:ln>
            <a:effectLst/>
          </c:spPr>
          <c:dLbls>
            <c:dLbl>
              <c:idx val="0"/>
              <c:layout>
                <c:manualLayout>
                  <c:x val="-4.3959073133185414E-3"/>
                  <c:y val="-1.053427344819914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949783716310742E-4"/>
                  <c:y val="-1.0637066201057591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5.9154532925811305E-3"/>
                  <c:y val="2.6351012364345412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4406627865571869E-3"/>
                  <c:y val="5.0264395658429824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5.7626511462287484E-3"/>
                  <c:y val="7.9824179574091922E-3"/>
                </c:manualLayout>
              </c:layout>
              <c:dLblPos val="outEnd"/>
              <c:showVal val="1"/>
            </c:dLbl>
            <c:spPr>
              <a:noFill/>
            </c:spPr>
            <c:txPr>
              <a:bodyPr/>
              <a:lstStyle/>
              <a:p>
                <a:pPr>
                  <a:defRPr lang="en-US" sz="713" b="1">
                    <a:latin typeface="Times New Roman Tj" pitchFamily="18" charset="-52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4554.6000000000004</c:v>
                </c:pt>
                <c:pt idx="1">
                  <c:v>5415.4</c:v>
                </c:pt>
                <c:pt idx="2">
                  <c:v>6363.2</c:v>
                </c:pt>
                <c:pt idx="3">
                  <c:v>8552.4</c:v>
                </c:pt>
                <c:pt idx="4">
                  <c:v>10413.9</c:v>
                </c:pt>
              </c:numCache>
            </c:numRef>
          </c:val>
        </c:ser>
        <c:gapWidth val="94"/>
        <c:axId val="134423680"/>
        <c:axId val="134425216"/>
      </c:barChart>
      <c:lineChart>
        <c:grouping val="stacked"/>
        <c:ser>
          <c:idx val="1"/>
          <c:order val="1"/>
          <c:tx>
            <c:strRef>
              <c:f>Лист1!$C$1</c:f>
              <c:strCache>
                <c:ptCount val="1"/>
                <c:pt idx="0">
                  <c:v>Рушди он (бо фоиз) </c:v>
                </c:pt>
              </c:strCache>
            </c:strRef>
          </c:tx>
          <c:spPr>
            <a:ln w="32211">
              <a:solidFill>
                <a:srgbClr val="0070C0"/>
              </a:solidFill>
            </a:ln>
          </c:spPr>
          <c:marker>
            <c:symbol val="square"/>
            <c:size val="2"/>
            <c:spPr>
              <a:solidFill>
                <a:schemeClr val="accent2">
                  <a:lumMod val="60000"/>
                  <a:lumOff val="40000"/>
                </a:schemeClr>
              </a:solidFill>
              <a:ln cmpd="sng">
                <a:solidFill>
                  <a:srgbClr val="0070C0"/>
                </a:solidFill>
              </a:ln>
            </c:spPr>
          </c:marker>
          <c:dPt>
            <c:idx val="1"/>
            <c:marker>
              <c:spPr>
                <a:gradFill rotWithShape="1">
                  <a:gsLst>
                    <a:gs pos="0">
                      <a:schemeClr val="accent3">
                        <a:shade val="45000"/>
                        <a:satMod val="155000"/>
                      </a:schemeClr>
                    </a:gs>
                    <a:gs pos="60000">
                      <a:schemeClr val="accent3">
                        <a:shade val="95000"/>
                        <a:satMod val="150000"/>
                      </a:schemeClr>
                    </a:gs>
                    <a:gs pos="100000">
                      <a:schemeClr val="accent3">
                        <a:tint val="87000"/>
                        <a:satMod val="250000"/>
                      </a:schemeClr>
                    </a:gs>
                  </a:gsLst>
                  <a:lin ang="16200000" scaled="0"/>
                </a:gradFill>
                <a:ln>
                  <a:solidFill>
                    <a:srgbClr val="0070C0"/>
                  </a:solidFill>
                </a:ln>
                <a:effectLst>
                  <a:outerShdw blurRad="65500" dist="38100" dir="5400000" rotWithShape="0">
                    <a:srgbClr val="000000">
                      <a:alpha val="40000"/>
                    </a:srgbClr>
                  </a:outerShdw>
                </a:effectLst>
                <a:scene3d>
                  <a:camera prst="orthographicFront" fov="0">
                    <a:rot lat="0" lon="0" rev="0"/>
                  </a:camera>
                  <a:lightRig rig="contrasting" dir="t">
                    <a:rot lat="0" lon="0" rev="12000000"/>
                  </a:lightRig>
                </a:scene3d>
                <a:sp3d prstMaterial="powder">
                  <a:bevelT h="50800"/>
                </a:sp3d>
              </c:spPr>
            </c:marker>
            <c:spPr>
              <a:ln w="32211">
                <a:solidFill>
                  <a:srgbClr val="0070C0"/>
                </a:solidFill>
              </a:ln>
              <a:effectLst>
                <a:outerShdw blurRad="65500" dist="38100" dir="5400000" rotWithShape="0">
                  <a:srgbClr val="000000">
                    <a:alpha val="40000"/>
                  </a:srgbClr>
                </a:outerShdw>
              </a:effectLst>
            </c:spPr>
          </c:dPt>
          <c:dPt>
            <c:idx val="2"/>
            <c:marker>
              <c:spPr>
                <a:gradFill rotWithShape="1">
                  <a:gsLst>
                    <a:gs pos="0">
                      <a:schemeClr val="accent3">
                        <a:shade val="45000"/>
                        <a:satMod val="155000"/>
                      </a:schemeClr>
                    </a:gs>
                    <a:gs pos="60000">
                      <a:schemeClr val="accent3">
                        <a:shade val="95000"/>
                        <a:satMod val="150000"/>
                      </a:schemeClr>
                    </a:gs>
                    <a:gs pos="100000">
                      <a:schemeClr val="accent3">
                        <a:tint val="87000"/>
                        <a:satMod val="250000"/>
                      </a:schemeClr>
                    </a:gs>
                  </a:gsLst>
                  <a:lin ang="16200000" scaled="0"/>
                </a:gradFill>
                <a:ln>
                  <a:solidFill>
                    <a:srgbClr val="0070C0"/>
                  </a:solidFill>
                </a:ln>
                <a:effectLst>
                  <a:outerShdw blurRad="65500" dist="38100" dir="5400000" rotWithShape="0">
                    <a:srgbClr val="000000">
                      <a:alpha val="40000"/>
                    </a:srgbClr>
                  </a:outerShdw>
                </a:effectLst>
                <a:scene3d>
                  <a:camera prst="orthographicFront" fov="0">
                    <a:rot lat="0" lon="0" rev="0"/>
                  </a:camera>
                  <a:lightRig rig="contrasting" dir="t">
                    <a:rot lat="0" lon="0" rev="12000000"/>
                  </a:lightRig>
                </a:scene3d>
                <a:sp3d prstMaterial="powder">
                  <a:bevelT h="50800"/>
                </a:sp3d>
              </c:spPr>
            </c:marker>
            <c:spPr>
              <a:ln w="32211">
                <a:solidFill>
                  <a:srgbClr val="0070C0"/>
                </a:solidFill>
              </a:ln>
              <a:effectLst>
                <a:outerShdw blurRad="65500" dist="38100" dir="5400000" rotWithShape="0">
                  <a:srgbClr val="000000">
                    <a:alpha val="40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3.7334972727702018E-2"/>
                  <c:y val="-1.7728143104824439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3563911601385192E-2"/>
                  <c:y val="1.4229067669435601E-3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1272365013583887E-2"/>
                  <c:y val="8.0793160105812961E-4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2.4350604233257127E-2"/>
                  <c:y val="-1.1887056838349201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6.3363071865138211E-3"/>
                  <c:y val="2.9880538303111892E-3"/>
                </c:manualLayout>
              </c:layout>
              <c:dLblPos val="r"/>
              <c:showVal val="1"/>
            </c:dLbl>
            <c:spPr>
              <a:solidFill>
                <a:schemeClr val="bg1"/>
              </a:solidFill>
              <a:ln>
                <a:noFill/>
              </a:ln>
              <a:effectLst>
                <a:outerShdw blurRad="65500" dist="38100" dir="5400000" rotWithShape="0">
                  <a:srgbClr val="000000">
                    <a:alpha val="40000"/>
                  </a:srgbClr>
                </a:outerShdw>
              </a:effectLst>
              <a:scene3d>
                <a:camera prst="orthographicFront" fov="0">
                  <a:rot lat="0" lon="0" rev="0"/>
                </a:camera>
                <a:lightRig rig="contrasting" dir="t">
                  <a:rot lat="0" lon="0" rev="12000000"/>
                </a:lightRig>
              </a:scene3d>
              <a:sp3d prstMaterial="powder">
                <a:bevelT h="50800"/>
              </a:sp3d>
            </c:spPr>
            <c:txPr>
              <a:bodyPr/>
              <a:lstStyle/>
              <a:p>
                <a:pPr>
                  <a:defRPr lang="en-US" sz="713" b="1">
                    <a:solidFill>
                      <a:schemeClr val="tx1"/>
                    </a:solidFill>
                    <a:latin typeface="Times New Roman Tj" pitchFamily="18" charset="-52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2.9</c:v>
                </c:pt>
                <c:pt idx="1">
                  <c:v>14.2</c:v>
                </c:pt>
                <c:pt idx="2">
                  <c:v>12.1</c:v>
                </c:pt>
                <c:pt idx="3">
                  <c:v>21.3</c:v>
                </c:pt>
                <c:pt idx="4">
                  <c:v>16.899999999999999</c:v>
                </c:pt>
              </c:numCache>
            </c:numRef>
          </c:val>
        </c:ser>
        <c:marker val="1"/>
        <c:axId val="134453888"/>
        <c:axId val="133730688"/>
      </c:lineChart>
      <c:catAx>
        <c:axId val="134423680"/>
        <c:scaling>
          <c:orientation val="minMax"/>
        </c:scaling>
        <c:axPos val="b"/>
        <c:numFmt formatCode="General" sourceLinked="1"/>
        <c:tickLblPos val="low"/>
        <c:txPr>
          <a:bodyPr/>
          <a:lstStyle/>
          <a:p>
            <a:pPr>
              <a:defRPr lang="en-US" sz="815" b="1">
                <a:solidFill>
                  <a:schemeClr val="tx1"/>
                </a:solidFill>
                <a:latin typeface="Times New Roman Tj" pitchFamily="18" charset="-52"/>
              </a:defRPr>
            </a:pPr>
            <a:endParaRPr lang="ru-RU"/>
          </a:p>
        </c:txPr>
        <c:crossAx val="134425216"/>
        <c:crosses val="autoZero"/>
        <c:auto val="1"/>
        <c:lblAlgn val="ctr"/>
        <c:lblOffset val="100"/>
      </c:catAx>
      <c:valAx>
        <c:axId val="134425216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lang="en-US" sz="713" b="1">
                <a:latin typeface="Times New Roman Tj" pitchFamily="18" charset="-52"/>
              </a:defRPr>
            </a:pPr>
            <a:endParaRPr lang="ru-RU"/>
          </a:p>
        </c:txPr>
        <c:crossAx val="134423680"/>
        <c:crosses val="autoZero"/>
        <c:crossBetween val="between"/>
      </c:valAx>
      <c:catAx>
        <c:axId val="134453888"/>
        <c:scaling>
          <c:orientation val="minMax"/>
        </c:scaling>
        <c:delete val="1"/>
        <c:axPos val="b"/>
        <c:numFmt formatCode="General" sourceLinked="1"/>
        <c:tickLblPos val="nextTo"/>
        <c:crossAx val="133730688"/>
        <c:crosses val="autoZero"/>
        <c:auto val="1"/>
        <c:lblAlgn val="ctr"/>
        <c:lblOffset val="100"/>
      </c:catAx>
      <c:valAx>
        <c:axId val="133730688"/>
        <c:scaling>
          <c:orientation val="minMax"/>
        </c:scaling>
        <c:axPos val="r"/>
        <c:numFmt formatCode="General" sourceLinked="1"/>
        <c:tickLblPos val="nextTo"/>
        <c:txPr>
          <a:bodyPr/>
          <a:lstStyle/>
          <a:p>
            <a:pPr>
              <a:defRPr lang="en-US" sz="713" b="1">
                <a:latin typeface="Times New Roman Tj" pitchFamily="18" charset="-52"/>
              </a:defRPr>
            </a:pPr>
            <a:endParaRPr lang="ru-RU"/>
          </a:p>
        </c:txPr>
        <c:crossAx val="134453888"/>
        <c:crosses val="max"/>
        <c:crossBetween val="between"/>
      </c:valAx>
      <c:spPr>
        <a:noFill/>
        <a:ln w="4811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b"/>
      <c:layout>
        <c:manualLayout>
          <c:xMode val="edge"/>
          <c:yMode val="edge"/>
          <c:x val="5.4788149868709966E-2"/>
          <c:y val="0.87949911939859027"/>
          <c:w val="0.89999991911389088"/>
          <c:h val="5.5969749544018822E-2"/>
        </c:manualLayout>
      </c:layout>
      <c:txPr>
        <a:bodyPr/>
        <a:lstStyle/>
        <a:p>
          <a:pPr>
            <a:defRPr lang="en-US" sz="815" b="1">
              <a:solidFill>
                <a:schemeClr val="tx1"/>
              </a:solidFill>
              <a:latin typeface="Times New Roman Tj" pitchFamily="18" charset="-52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</c:spPr>
  <c:txPr>
    <a:bodyPr/>
    <a:lstStyle/>
    <a:p>
      <a:pPr>
        <a:defRPr sz="912"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plotArea>
      <c:layout>
        <c:manualLayout>
          <c:layoutTarget val="inner"/>
          <c:xMode val="edge"/>
          <c:yMode val="edge"/>
          <c:x val="0.10413223140495872"/>
          <c:y val="8.2802547770700632E-2"/>
          <c:w val="0.81487603305785161"/>
          <c:h val="0.59235668789808849"/>
        </c:manualLayout>
      </c:layout>
      <c:barChart>
        <c:barDir val="col"/>
        <c:grouping val="clustered"/>
        <c:ser>
          <c:idx val="1"/>
          <c:order val="1"/>
          <c:tx>
            <c:strRef>
              <c:f>Лист1!$C$1</c:f>
              <c:strCache>
                <c:ptCount val="1"/>
                <c:pt idx="0">
                  <c:v>добыча полезных ископаемых</c:v>
                </c:pt>
              </c:strCache>
            </c:strRef>
          </c:tx>
          <c:spPr>
            <a:solidFill>
              <a:srgbClr val="9999FF"/>
            </a:solidFill>
            <a:effectLst/>
          </c:spPr>
          <c:dLbls>
            <c:dLbl>
              <c:idx val="1"/>
              <c:layout>
                <c:manualLayout>
                  <c:x val="-1.694169328889444E-2"/>
                  <c:y val="0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8481847224248487E-2"/>
                  <c:y val="8.1395351321350267E-3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1.0781077547478346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Лист1!$C$2:$C$6</c:f>
              <c:numCache>
                <c:formatCode>0.0</c:formatCode>
                <c:ptCount val="5"/>
                <c:pt idx="0">
                  <c:v>10.9</c:v>
                </c:pt>
                <c:pt idx="1">
                  <c:v>16.3</c:v>
                </c:pt>
                <c:pt idx="2" formatCode="General">
                  <c:v>150</c:v>
                </c:pt>
                <c:pt idx="3" formatCode="General">
                  <c:v>26.3</c:v>
                </c:pt>
                <c:pt idx="4" formatCode="General">
                  <c:v>19.7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перерабатывающая промышленность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dLbls>
            <c:dLbl>
              <c:idx val="4"/>
              <c:layout>
                <c:manualLayout>
                  <c:x val="6.1606157414162708E-3"/>
                  <c:y val="-1.3565891886891657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0.70000000000000062</c:v>
                </c:pt>
                <c:pt idx="1">
                  <c:v>12.8</c:v>
                </c:pt>
                <c:pt idx="2">
                  <c:v>8.1</c:v>
                </c:pt>
                <c:pt idx="3">
                  <c:v>20.9</c:v>
                </c:pt>
                <c:pt idx="4">
                  <c:v>22.2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производство и распределение электроэнергии, газа и воды</c:v>
                </c:pt>
              </c:strCache>
            </c:strRef>
          </c:tx>
          <c:spPr>
            <a:solidFill>
              <a:srgbClr val="00FFCC"/>
            </a:solidFill>
            <a:ln w="37077">
              <a:noFill/>
              <a:prstDash val="solid"/>
            </a:ln>
          </c:spPr>
          <c:dLbls>
            <c:dLbl>
              <c:idx val="1"/>
              <c:layout>
                <c:manualLayout>
                  <c:x val="1.8481847224248487E-2"/>
                  <c:y val="-2.7131783773783466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1.3861385418186451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4.3</c:v>
                </c:pt>
                <c:pt idx="1">
                  <c:v>14.7</c:v>
                </c:pt>
                <c:pt idx="2">
                  <c:v>3.4</c:v>
                </c:pt>
                <c:pt idx="3">
                  <c:v>16.2</c:v>
                </c:pt>
                <c:pt idx="4" formatCode="0.0">
                  <c:v>4</c:v>
                </c:pt>
              </c:numCache>
            </c:numRef>
          </c:val>
        </c:ser>
        <c:axId val="133727360"/>
        <c:axId val="133728896"/>
      </c:barChar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промышленность </c:v>
                </c:pt>
              </c:strCache>
            </c:strRef>
          </c:tx>
          <c:spPr>
            <a:effectLst/>
          </c:spPr>
          <c:marker>
            <c:symbol val="none"/>
          </c:marker>
          <c:dPt>
            <c:idx val="1"/>
            <c:spPr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-5.0308320878816926E-2"/>
                  <c:y val="-4.0161011470053062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4076464552547569E-2"/>
                  <c:y val="-5.573175846513287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8479476694300817E-2"/>
                  <c:y val="-3.8596586051094547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3.3337848666291851E-2"/>
                  <c:y val="-3.9815721283532175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1.0168876557616821E-2"/>
                  <c:y val="-2.5730994152046788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showVal val="1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2.9</c:v>
                </c:pt>
                <c:pt idx="1">
                  <c:v>14.2</c:v>
                </c:pt>
                <c:pt idx="2">
                  <c:v>12.1</c:v>
                </c:pt>
                <c:pt idx="3">
                  <c:v>21.3</c:v>
                </c:pt>
                <c:pt idx="4">
                  <c:v>16.899999999999999</c:v>
                </c:pt>
              </c:numCache>
            </c:numRef>
          </c:val>
        </c:ser>
        <c:marker val="1"/>
        <c:axId val="133992832"/>
        <c:axId val="133994368"/>
      </c:lineChart>
      <c:catAx>
        <c:axId val="133727360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lang="en-US" sz="1039">
                <a:solidFill>
                  <a:schemeClr val="tx1"/>
                </a:solidFill>
              </a:defRPr>
            </a:pPr>
            <a:endParaRPr lang="ru-RU"/>
          </a:p>
        </c:txPr>
        <c:crossAx val="133728896"/>
        <c:crosses val="autoZero"/>
        <c:auto val="1"/>
        <c:lblAlgn val="ctr"/>
        <c:lblOffset val="100"/>
      </c:catAx>
      <c:valAx>
        <c:axId val="133728896"/>
        <c:scaling>
          <c:orientation val="minMax"/>
        </c:scaling>
        <c:axPos val="l"/>
        <c:numFmt formatCode="0.0" sourceLinked="1"/>
        <c:majorTickMark val="none"/>
        <c:tickLblPos val="nextTo"/>
        <c:txPr>
          <a:bodyPr/>
          <a:lstStyle/>
          <a:p>
            <a:pPr>
              <a:defRPr lang="en-US" sz="909"/>
            </a:pPr>
            <a:endParaRPr lang="ru-RU"/>
          </a:p>
        </c:txPr>
        <c:crossAx val="133727360"/>
        <c:crosses val="autoZero"/>
        <c:crossBetween val="between"/>
        <c:majorUnit val="50"/>
      </c:valAx>
      <c:catAx>
        <c:axId val="133992832"/>
        <c:scaling>
          <c:orientation val="minMax"/>
        </c:scaling>
        <c:delete val="1"/>
        <c:axPos val="b"/>
        <c:numFmt formatCode="General" sourceLinked="1"/>
        <c:tickLblPos val="nextTo"/>
        <c:crossAx val="133994368"/>
        <c:crosses val="autoZero"/>
        <c:auto val="1"/>
        <c:lblAlgn val="ctr"/>
        <c:lblOffset val="100"/>
      </c:catAx>
      <c:valAx>
        <c:axId val="133994368"/>
        <c:scaling>
          <c:orientation val="minMax"/>
          <c:min val="-2"/>
        </c:scaling>
        <c:axPos val="r"/>
        <c:numFmt formatCode="General" sourceLinked="1"/>
        <c:tickLblPos val="nextTo"/>
        <c:txPr>
          <a:bodyPr/>
          <a:lstStyle/>
          <a:p>
            <a:pPr>
              <a:defRPr lang="en-US"/>
            </a:pPr>
            <a:endParaRPr lang="ru-RU"/>
          </a:p>
        </c:txPr>
        <c:crossAx val="133992832"/>
        <c:crosses val="max"/>
        <c:crossBetween val="between"/>
      </c:valAx>
      <c:spPr>
        <a:noFill/>
        <a:ln w="16487">
          <a:noFill/>
        </a:ln>
      </c:spPr>
    </c:plotArea>
    <c:legend>
      <c:legendPos val="b"/>
      <c:layout>
        <c:manualLayout>
          <c:xMode val="edge"/>
          <c:yMode val="edge"/>
          <c:x val="1.2504525708264103E-2"/>
          <c:y val="0.76680384573585469"/>
          <c:w val="0.98674932382059144"/>
          <c:h val="0.20417584212624373"/>
        </c:manualLayout>
      </c:layout>
      <c:txPr>
        <a:bodyPr/>
        <a:lstStyle/>
        <a:p>
          <a:pPr>
            <a:defRPr lang="en-US" sz="1039"/>
          </a:pPr>
          <a:endParaRPr lang="ru-RU"/>
        </a:p>
      </c:txPr>
    </c:legend>
    <c:plotVisOnly val="1"/>
    <c:dispBlanksAs val="zero"/>
  </c:chart>
  <c:spPr>
    <a:noFill/>
    <a:ln>
      <a:solidFill>
        <a:schemeClr val="accent1"/>
      </a:solidFill>
    </a:ln>
  </c:spPr>
  <c:txPr>
    <a:bodyPr/>
    <a:lstStyle/>
    <a:p>
      <a:pPr>
        <a:defRPr sz="1039" b="1">
          <a:solidFill>
            <a:schemeClr val="dk1"/>
          </a:solidFill>
          <a:latin typeface="Times New Roman Tj" pitchFamily="18" charset="-52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2018-10-11T10:29:00Z</dcterms:created>
  <dcterms:modified xsi:type="dcterms:W3CDTF">2018-10-11T10:30:00Z</dcterms:modified>
</cp:coreProperties>
</file>