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FC2" w:rsidRPr="00D30C28" w:rsidRDefault="00040FC2" w:rsidP="00040FC2">
      <w:pPr>
        <w:ind w:firstLine="709"/>
        <w:jc w:val="both"/>
        <w:rPr>
          <w:rFonts w:ascii="Times New Roman Tj" w:hAnsi="Times New Roman Tj" w:cs="Times New Roman"/>
          <w:b/>
          <w:sz w:val="28"/>
          <w:szCs w:val="28"/>
        </w:rPr>
      </w:pPr>
      <w:r w:rsidRPr="00D30C28">
        <w:rPr>
          <w:rFonts w:ascii="Times New Roman Tj" w:hAnsi="Times New Roman Tj" w:cs="Times New Roman"/>
          <w:b/>
          <w:sz w:val="28"/>
          <w:szCs w:val="28"/>
        </w:rPr>
        <w:t>О промышленности</w:t>
      </w:r>
    </w:p>
    <w:p w:rsidR="00040FC2" w:rsidRPr="00D30C28" w:rsidRDefault="00040FC2" w:rsidP="00040FC2">
      <w:pPr>
        <w:ind w:firstLine="709"/>
        <w:jc w:val="both"/>
        <w:rPr>
          <w:rFonts w:ascii="Times New Roman Tj" w:hAnsi="Times New Roman Tj" w:cs="Times New Roman"/>
          <w:sz w:val="28"/>
          <w:szCs w:val="28"/>
        </w:rPr>
      </w:pPr>
      <w:r w:rsidRPr="00D30C28">
        <w:rPr>
          <w:rFonts w:ascii="Times New Roman Tj" w:hAnsi="Times New Roman Tj" w:cs="Times New Roman"/>
          <w:sz w:val="28"/>
          <w:szCs w:val="28"/>
        </w:rPr>
        <w:t xml:space="preserve"> Объем производства промышленной продукции достиг 10,4 млрд. Темп роста по сравнению с аналогичным периодом прошлого года составил 16,9%, включая добывающую промышленность - 2,3 млрд. </w:t>
      </w:r>
      <w:proofErr w:type="spellStart"/>
      <w:r w:rsidRPr="00D30C28">
        <w:rPr>
          <w:rFonts w:ascii="Times New Roman Tj" w:hAnsi="Times New Roman Tj" w:cs="Times New Roman"/>
          <w:sz w:val="28"/>
          <w:szCs w:val="28"/>
        </w:rPr>
        <w:t>сомони</w:t>
      </w:r>
      <w:proofErr w:type="spellEnd"/>
      <w:r w:rsidRPr="00D30C28">
        <w:rPr>
          <w:rFonts w:ascii="Times New Roman Tj" w:hAnsi="Times New Roman Tj" w:cs="Times New Roman"/>
          <w:sz w:val="28"/>
          <w:szCs w:val="28"/>
        </w:rPr>
        <w:t xml:space="preserve"> (19,7%), обрабатывающую промышленность - 5,9 </w:t>
      </w:r>
      <w:proofErr w:type="spellStart"/>
      <w:r w:rsidRPr="00D30C28">
        <w:rPr>
          <w:rFonts w:ascii="Times New Roman Tj" w:hAnsi="Times New Roman Tj" w:cs="Times New Roman"/>
          <w:sz w:val="28"/>
          <w:szCs w:val="28"/>
        </w:rPr>
        <w:t>млрдСомони</w:t>
      </w:r>
      <w:proofErr w:type="spellEnd"/>
      <w:r w:rsidRPr="00D30C28">
        <w:rPr>
          <w:rFonts w:ascii="Times New Roman Tj" w:hAnsi="Times New Roman Tj" w:cs="Times New Roman"/>
          <w:sz w:val="28"/>
          <w:szCs w:val="28"/>
        </w:rPr>
        <w:t xml:space="preserve"> (22,2%), а также производство и распределение электроэнергии, газа, отопления и водоснабжения до 2,3 млрд. </w:t>
      </w:r>
      <w:proofErr w:type="spellStart"/>
      <w:r w:rsidRPr="00D30C28">
        <w:rPr>
          <w:rFonts w:ascii="Times New Roman Tj" w:hAnsi="Times New Roman Tj" w:cs="Times New Roman"/>
          <w:sz w:val="28"/>
          <w:szCs w:val="28"/>
        </w:rPr>
        <w:t>сомони</w:t>
      </w:r>
      <w:proofErr w:type="spellEnd"/>
      <w:r w:rsidRPr="00D30C28">
        <w:rPr>
          <w:rFonts w:ascii="Times New Roman Tj" w:hAnsi="Times New Roman Tj" w:cs="Times New Roman"/>
          <w:sz w:val="28"/>
          <w:szCs w:val="28"/>
        </w:rPr>
        <w:t xml:space="preserve"> (4,0%). </w:t>
      </w:r>
    </w:p>
    <w:p w:rsidR="00040FC2" w:rsidRPr="00D30C28" w:rsidRDefault="00040FC2" w:rsidP="00040FC2">
      <w:pPr>
        <w:jc w:val="center"/>
        <w:rPr>
          <w:rFonts w:ascii="Times New Roman Tj" w:hAnsi="Times New Roman Tj" w:cs="Times New Roman"/>
          <w:b/>
          <w:sz w:val="28"/>
          <w:szCs w:val="28"/>
        </w:rPr>
      </w:pPr>
      <w:r w:rsidRPr="00D30C28">
        <w:rPr>
          <w:rFonts w:ascii="Times New Roman Tj" w:hAnsi="Times New Roman Tj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457200</wp:posOffset>
            </wp:positionV>
            <wp:extent cx="5900420" cy="2918460"/>
            <wp:effectExtent l="19050" t="0" r="24130" b="0"/>
            <wp:wrapNone/>
            <wp:docPr id="6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  <w:r w:rsidRPr="00D30C28">
        <w:rPr>
          <w:rFonts w:ascii="Times New Roman Tj" w:hAnsi="Times New Roman Tj" w:cs="Times New Roman"/>
          <w:b/>
          <w:sz w:val="28"/>
          <w:szCs w:val="28"/>
        </w:rPr>
        <w:t>Номинальный объем и фактический рост промышленности в первых полугодиях 2014-2018 годов.</w:t>
      </w:r>
    </w:p>
    <w:p w:rsidR="00040FC2" w:rsidRPr="00D30C28" w:rsidRDefault="00040FC2" w:rsidP="00040FC2">
      <w:pPr>
        <w:rPr>
          <w:rFonts w:ascii="Times New Roman Tj" w:hAnsi="Times New Roman Tj"/>
          <w:sz w:val="28"/>
          <w:szCs w:val="28"/>
        </w:rPr>
      </w:pPr>
    </w:p>
    <w:p w:rsidR="00040FC2" w:rsidRPr="00D30C28" w:rsidRDefault="00040FC2" w:rsidP="00040FC2">
      <w:pPr>
        <w:rPr>
          <w:rFonts w:ascii="Times New Roman Tj" w:hAnsi="Times New Roman Tj"/>
          <w:sz w:val="28"/>
          <w:szCs w:val="28"/>
        </w:rPr>
      </w:pPr>
    </w:p>
    <w:p w:rsidR="00040FC2" w:rsidRPr="00D30C28" w:rsidRDefault="00040FC2" w:rsidP="00040FC2">
      <w:pPr>
        <w:rPr>
          <w:rFonts w:ascii="Times New Roman Tj" w:hAnsi="Times New Roman Tj"/>
          <w:sz w:val="28"/>
          <w:szCs w:val="28"/>
        </w:rPr>
      </w:pPr>
    </w:p>
    <w:p w:rsidR="00040FC2" w:rsidRPr="00D30C28" w:rsidRDefault="00040FC2" w:rsidP="00040FC2">
      <w:pPr>
        <w:rPr>
          <w:rFonts w:ascii="Times New Roman Tj" w:hAnsi="Times New Roman Tj"/>
          <w:sz w:val="28"/>
          <w:szCs w:val="28"/>
        </w:rPr>
      </w:pPr>
    </w:p>
    <w:p w:rsidR="00040FC2" w:rsidRPr="00D30C28" w:rsidRDefault="00040FC2" w:rsidP="00040FC2">
      <w:pPr>
        <w:rPr>
          <w:rFonts w:ascii="Times New Roman Tj" w:hAnsi="Times New Roman Tj"/>
          <w:sz w:val="28"/>
          <w:szCs w:val="28"/>
        </w:rPr>
      </w:pPr>
    </w:p>
    <w:p w:rsidR="00040FC2" w:rsidRPr="00D30C28" w:rsidRDefault="00040FC2" w:rsidP="00040FC2">
      <w:pPr>
        <w:rPr>
          <w:rFonts w:ascii="Times New Roman Tj" w:hAnsi="Times New Roman Tj"/>
          <w:sz w:val="28"/>
          <w:szCs w:val="28"/>
        </w:rPr>
      </w:pPr>
    </w:p>
    <w:p w:rsidR="00040FC2" w:rsidRPr="00D30C28" w:rsidRDefault="00040FC2" w:rsidP="00040FC2">
      <w:pPr>
        <w:rPr>
          <w:rFonts w:ascii="Times New Roman Tj" w:hAnsi="Times New Roman Tj"/>
          <w:sz w:val="28"/>
          <w:szCs w:val="28"/>
        </w:rPr>
      </w:pPr>
    </w:p>
    <w:p w:rsidR="00040FC2" w:rsidRPr="00D30C28" w:rsidRDefault="00040FC2" w:rsidP="00040FC2">
      <w:pPr>
        <w:rPr>
          <w:rFonts w:ascii="Times New Roman Tj" w:hAnsi="Times New Roman Tj"/>
          <w:sz w:val="28"/>
          <w:szCs w:val="28"/>
        </w:rPr>
      </w:pPr>
    </w:p>
    <w:p w:rsidR="00040FC2" w:rsidRPr="00D30C28" w:rsidRDefault="00040FC2" w:rsidP="00040FC2">
      <w:pPr>
        <w:ind w:firstLine="709"/>
        <w:jc w:val="both"/>
        <w:rPr>
          <w:rFonts w:ascii="Times New Roman Tj" w:hAnsi="Times New Roman Tj" w:cs="Times New Roman"/>
          <w:sz w:val="28"/>
          <w:szCs w:val="28"/>
        </w:rPr>
      </w:pPr>
    </w:p>
    <w:p w:rsidR="00040FC2" w:rsidRPr="00D30C28" w:rsidRDefault="00040FC2" w:rsidP="00040FC2">
      <w:pPr>
        <w:ind w:firstLine="709"/>
        <w:jc w:val="both"/>
        <w:rPr>
          <w:rFonts w:ascii="Times New Roman Tj" w:hAnsi="Times New Roman Tj" w:cs="Times New Roman"/>
          <w:sz w:val="28"/>
          <w:szCs w:val="28"/>
        </w:rPr>
      </w:pPr>
      <w:r w:rsidRPr="00D30C28">
        <w:rPr>
          <w:rFonts w:ascii="Times New Roman Tj" w:hAnsi="Times New Roman Tj" w:cs="Times New Roman"/>
          <w:sz w:val="28"/>
          <w:szCs w:val="28"/>
        </w:rPr>
        <w:t>За отчетный период доля обрабатывающей промышленности в общем объеме производства промышленной продукции увеличилась на 56,6%, горнодобывающей промышленности - на 21,7%, производства и распределения электроэнергии, газа и воды - на 21,7%.</w:t>
      </w:r>
    </w:p>
    <w:p w:rsidR="00040FC2" w:rsidRPr="00D30C28" w:rsidRDefault="00040FC2" w:rsidP="00040FC2">
      <w:pPr>
        <w:jc w:val="center"/>
        <w:rPr>
          <w:rFonts w:ascii="Times New Roman Tj" w:hAnsi="Times New Roman Tj" w:cs="Times New Roman"/>
          <w:b/>
          <w:sz w:val="28"/>
          <w:szCs w:val="28"/>
        </w:rPr>
      </w:pPr>
    </w:p>
    <w:p w:rsidR="00040FC2" w:rsidRPr="00D30C28" w:rsidRDefault="00040FC2" w:rsidP="00040FC2">
      <w:pPr>
        <w:jc w:val="center"/>
        <w:rPr>
          <w:rFonts w:ascii="Times New Roman Tj" w:hAnsi="Times New Roman Tj" w:cs="Times New Roman"/>
          <w:b/>
          <w:sz w:val="28"/>
          <w:szCs w:val="28"/>
        </w:rPr>
      </w:pPr>
    </w:p>
    <w:p w:rsidR="00040FC2" w:rsidRPr="00D30C28" w:rsidRDefault="00040FC2" w:rsidP="00040FC2">
      <w:pPr>
        <w:jc w:val="center"/>
        <w:rPr>
          <w:rFonts w:ascii="Times New Roman Tj" w:hAnsi="Times New Roman Tj" w:cs="Times New Roman"/>
          <w:b/>
          <w:sz w:val="28"/>
          <w:szCs w:val="28"/>
        </w:rPr>
      </w:pPr>
    </w:p>
    <w:p w:rsidR="00040FC2" w:rsidRPr="00D30C28" w:rsidRDefault="00040FC2" w:rsidP="00040FC2">
      <w:pPr>
        <w:jc w:val="center"/>
        <w:rPr>
          <w:rFonts w:ascii="Times New Roman Tj" w:hAnsi="Times New Roman Tj" w:cs="Times New Roman"/>
          <w:b/>
          <w:sz w:val="28"/>
          <w:szCs w:val="28"/>
        </w:rPr>
      </w:pPr>
    </w:p>
    <w:p w:rsidR="00040FC2" w:rsidRPr="00D30C28" w:rsidRDefault="00040FC2" w:rsidP="00040FC2">
      <w:pPr>
        <w:jc w:val="center"/>
        <w:rPr>
          <w:rFonts w:ascii="Times New Roman Tj" w:hAnsi="Times New Roman Tj" w:cs="Times New Roman"/>
          <w:b/>
          <w:sz w:val="28"/>
          <w:szCs w:val="28"/>
        </w:rPr>
      </w:pPr>
    </w:p>
    <w:p w:rsidR="00040FC2" w:rsidRDefault="00040FC2" w:rsidP="00040FC2">
      <w:pPr>
        <w:jc w:val="center"/>
        <w:rPr>
          <w:rFonts w:ascii="Times New Roman Tj" w:hAnsi="Times New Roman Tj" w:cs="Times New Roman"/>
          <w:b/>
          <w:sz w:val="28"/>
          <w:szCs w:val="28"/>
        </w:rPr>
      </w:pPr>
    </w:p>
    <w:p w:rsidR="00040FC2" w:rsidRPr="00D30C28" w:rsidRDefault="00040FC2" w:rsidP="00040FC2">
      <w:pPr>
        <w:jc w:val="center"/>
        <w:rPr>
          <w:rFonts w:ascii="Times New Roman Tj" w:hAnsi="Times New Roman Tj" w:cs="Times New Roman"/>
          <w:b/>
          <w:sz w:val="28"/>
          <w:szCs w:val="28"/>
        </w:rPr>
      </w:pPr>
    </w:p>
    <w:p w:rsidR="00040FC2" w:rsidRPr="00D30C28" w:rsidRDefault="00040FC2" w:rsidP="00040FC2">
      <w:pPr>
        <w:jc w:val="center"/>
        <w:rPr>
          <w:rFonts w:ascii="Times New Roman Tj" w:hAnsi="Times New Roman Tj" w:cs="Times New Roman"/>
          <w:b/>
          <w:sz w:val="28"/>
          <w:szCs w:val="28"/>
        </w:rPr>
      </w:pPr>
    </w:p>
    <w:p w:rsidR="00040FC2" w:rsidRPr="00D30C28" w:rsidRDefault="00040FC2" w:rsidP="00040FC2">
      <w:pPr>
        <w:jc w:val="center"/>
        <w:rPr>
          <w:rFonts w:ascii="Times New Roman Tj" w:hAnsi="Times New Roman Tj" w:cs="Times New Roman"/>
          <w:b/>
          <w:sz w:val="28"/>
          <w:szCs w:val="28"/>
        </w:rPr>
      </w:pPr>
      <w:r w:rsidRPr="00D30C28">
        <w:rPr>
          <w:rFonts w:ascii="Times New Roman Tj" w:hAnsi="Times New Roman Tj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-175946</wp:posOffset>
            </wp:positionH>
            <wp:positionV relativeFrom="paragraph">
              <wp:posOffset>467360</wp:posOffset>
            </wp:positionV>
            <wp:extent cx="6275223" cy="3108960"/>
            <wp:effectExtent l="19050" t="0" r="11277" b="0"/>
            <wp:wrapNone/>
            <wp:docPr id="9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  <w:r w:rsidRPr="00D30C28">
        <w:rPr>
          <w:rFonts w:ascii="Times New Roman Tj" w:hAnsi="Times New Roman Tj" w:cs="Times New Roman"/>
          <w:b/>
          <w:sz w:val="28"/>
          <w:szCs w:val="28"/>
        </w:rPr>
        <w:t>Развитие отраслей промышленности в первых полугодиях  в 2014-2018 гг. (в процентах)</w:t>
      </w:r>
    </w:p>
    <w:p w:rsidR="00040FC2" w:rsidRPr="00D30C28" w:rsidRDefault="00040FC2" w:rsidP="00040FC2">
      <w:pPr>
        <w:rPr>
          <w:rFonts w:ascii="Times New Roman Tj" w:hAnsi="Times New Roman Tj"/>
          <w:sz w:val="28"/>
          <w:szCs w:val="28"/>
        </w:rPr>
      </w:pPr>
    </w:p>
    <w:p w:rsidR="00040FC2" w:rsidRPr="00D30C28" w:rsidRDefault="00040FC2" w:rsidP="00040FC2">
      <w:pPr>
        <w:rPr>
          <w:rFonts w:ascii="Times New Roman Tj" w:hAnsi="Times New Roman Tj"/>
          <w:sz w:val="28"/>
          <w:szCs w:val="28"/>
        </w:rPr>
      </w:pPr>
    </w:p>
    <w:p w:rsidR="00040FC2" w:rsidRPr="00D30C28" w:rsidRDefault="00040FC2" w:rsidP="00040FC2">
      <w:pPr>
        <w:rPr>
          <w:rFonts w:ascii="Times New Roman Tj" w:hAnsi="Times New Roman Tj"/>
          <w:sz w:val="28"/>
          <w:szCs w:val="28"/>
        </w:rPr>
      </w:pPr>
    </w:p>
    <w:p w:rsidR="00040FC2" w:rsidRPr="00D30C28" w:rsidRDefault="00040FC2" w:rsidP="00040FC2">
      <w:pPr>
        <w:rPr>
          <w:rFonts w:ascii="Times New Roman Tj" w:hAnsi="Times New Roman Tj"/>
          <w:sz w:val="28"/>
          <w:szCs w:val="28"/>
        </w:rPr>
      </w:pPr>
    </w:p>
    <w:p w:rsidR="00040FC2" w:rsidRPr="00D30C28" w:rsidRDefault="00040FC2" w:rsidP="00040FC2">
      <w:pPr>
        <w:rPr>
          <w:rFonts w:ascii="Times New Roman Tj" w:hAnsi="Times New Roman Tj"/>
          <w:sz w:val="28"/>
          <w:szCs w:val="28"/>
        </w:rPr>
      </w:pPr>
    </w:p>
    <w:p w:rsidR="00040FC2" w:rsidRPr="00D30C28" w:rsidRDefault="00040FC2" w:rsidP="00040FC2">
      <w:pPr>
        <w:rPr>
          <w:rFonts w:ascii="Times New Roman Tj" w:hAnsi="Times New Roman Tj"/>
          <w:sz w:val="28"/>
          <w:szCs w:val="28"/>
        </w:rPr>
      </w:pPr>
    </w:p>
    <w:p w:rsidR="00040FC2" w:rsidRPr="00D30C28" w:rsidRDefault="00040FC2" w:rsidP="00040FC2">
      <w:pPr>
        <w:rPr>
          <w:rFonts w:ascii="Times New Roman Tj" w:hAnsi="Times New Roman Tj"/>
          <w:sz w:val="28"/>
          <w:szCs w:val="28"/>
        </w:rPr>
      </w:pPr>
    </w:p>
    <w:p w:rsidR="00040FC2" w:rsidRPr="00D30C28" w:rsidRDefault="00040FC2" w:rsidP="00040FC2">
      <w:pPr>
        <w:rPr>
          <w:rFonts w:ascii="Times New Roman Tj" w:hAnsi="Times New Roman Tj"/>
          <w:sz w:val="28"/>
          <w:szCs w:val="28"/>
        </w:rPr>
      </w:pPr>
    </w:p>
    <w:p w:rsidR="00040FC2" w:rsidRPr="00D30C28" w:rsidRDefault="00040FC2" w:rsidP="00040FC2">
      <w:pPr>
        <w:rPr>
          <w:rFonts w:ascii="Times New Roman Tj" w:hAnsi="Times New Roman Tj"/>
          <w:sz w:val="28"/>
          <w:szCs w:val="28"/>
        </w:rPr>
      </w:pPr>
    </w:p>
    <w:p w:rsidR="00040FC2" w:rsidRPr="00D30C28" w:rsidRDefault="00040FC2" w:rsidP="00040FC2">
      <w:pPr>
        <w:rPr>
          <w:rFonts w:ascii="Times New Roman Tj" w:hAnsi="Times New Roman Tj"/>
          <w:sz w:val="28"/>
          <w:szCs w:val="28"/>
        </w:rPr>
      </w:pPr>
    </w:p>
    <w:p w:rsidR="00040FC2" w:rsidRPr="00D30C28" w:rsidRDefault="00040FC2" w:rsidP="00040FC2">
      <w:pPr>
        <w:jc w:val="center"/>
        <w:rPr>
          <w:rFonts w:ascii="Times New Roman Tj" w:hAnsi="Times New Roman Tj" w:cs="Times New Roman"/>
          <w:b/>
          <w:sz w:val="28"/>
          <w:szCs w:val="28"/>
        </w:rPr>
      </w:pPr>
      <w:r w:rsidRPr="00D30C28">
        <w:rPr>
          <w:rFonts w:ascii="Times New Roman Tj" w:hAnsi="Times New Roman Tj" w:cs="Times New Roman"/>
          <w:b/>
          <w:sz w:val="28"/>
          <w:szCs w:val="28"/>
        </w:rPr>
        <w:t>Тенденции в подсекторах перерабатывающей промышленности в первых полугодиях 2018 года (в процентах)</w:t>
      </w:r>
    </w:p>
    <w:p w:rsidR="00040FC2" w:rsidRPr="00D30C28" w:rsidRDefault="00040FC2" w:rsidP="00040FC2">
      <w:pPr>
        <w:jc w:val="center"/>
        <w:rPr>
          <w:rFonts w:ascii="Times New Roman Tj" w:hAnsi="Times New Roman Tj"/>
          <w:sz w:val="28"/>
          <w:szCs w:val="28"/>
        </w:rPr>
      </w:pPr>
      <w:r w:rsidRPr="00D30C28">
        <w:rPr>
          <w:rFonts w:ascii="Times New Roman Tj" w:hAnsi="Times New Roman Tj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-39370</wp:posOffset>
            </wp:positionH>
            <wp:positionV relativeFrom="paragraph">
              <wp:posOffset>32385</wp:posOffset>
            </wp:positionV>
            <wp:extent cx="5949950" cy="2384425"/>
            <wp:effectExtent l="19050" t="0" r="0" b="0"/>
            <wp:wrapNone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0" cy="238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0FC2" w:rsidRPr="00D30C28" w:rsidRDefault="00040FC2" w:rsidP="00040FC2">
      <w:pPr>
        <w:rPr>
          <w:rFonts w:ascii="Times New Roman Tj" w:hAnsi="Times New Roman Tj"/>
          <w:sz w:val="28"/>
          <w:szCs w:val="28"/>
        </w:rPr>
      </w:pPr>
    </w:p>
    <w:p w:rsidR="00040FC2" w:rsidRPr="00D30C28" w:rsidRDefault="00040FC2" w:rsidP="00040FC2">
      <w:pPr>
        <w:rPr>
          <w:rFonts w:ascii="Times New Roman Tj" w:hAnsi="Times New Roman Tj"/>
          <w:sz w:val="28"/>
          <w:szCs w:val="28"/>
        </w:rPr>
      </w:pPr>
    </w:p>
    <w:p w:rsidR="00040FC2" w:rsidRPr="00D30C28" w:rsidRDefault="00040FC2" w:rsidP="00040FC2">
      <w:pPr>
        <w:rPr>
          <w:rFonts w:ascii="Times New Roman Tj" w:hAnsi="Times New Roman Tj"/>
          <w:sz w:val="28"/>
          <w:szCs w:val="28"/>
        </w:rPr>
      </w:pPr>
    </w:p>
    <w:p w:rsidR="00040FC2" w:rsidRPr="00D30C28" w:rsidRDefault="00040FC2" w:rsidP="00040FC2">
      <w:pPr>
        <w:rPr>
          <w:rFonts w:ascii="Times New Roman Tj" w:hAnsi="Times New Roman Tj"/>
          <w:sz w:val="28"/>
          <w:szCs w:val="28"/>
        </w:rPr>
      </w:pPr>
    </w:p>
    <w:p w:rsidR="00040FC2" w:rsidRPr="00D30C28" w:rsidRDefault="00040FC2" w:rsidP="00040FC2">
      <w:pPr>
        <w:rPr>
          <w:rFonts w:ascii="Times New Roman Tj" w:hAnsi="Times New Roman Tj"/>
          <w:sz w:val="28"/>
          <w:szCs w:val="28"/>
        </w:rPr>
      </w:pPr>
    </w:p>
    <w:p w:rsidR="00040FC2" w:rsidRPr="00D30C28" w:rsidRDefault="00040FC2" w:rsidP="00040FC2">
      <w:pPr>
        <w:rPr>
          <w:rFonts w:ascii="Times New Roman Tj" w:hAnsi="Times New Roman Tj"/>
          <w:sz w:val="28"/>
          <w:szCs w:val="28"/>
        </w:rPr>
      </w:pPr>
    </w:p>
    <w:p w:rsidR="00040FC2" w:rsidRPr="00D30C28" w:rsidRDefault="00040FC2" w:rsidP="00040FC2">
      <w:pPr>
        <w:rPr>
          <w:rFonts w:ascii="Times New Roman Tj" w:hAnsi="Times New Roman Tj"/>
          <w:sz w:val="28"/>
          <w:szCs w:val="28"/>
        </w:rPr>
      </w:pPr>
    </w:p>
    <w:p w:rsidR="00040FC2" w:rsidRPr="00D30C28" w:rsidRDefault="00040FC2" w:rsidP="00040FC2">
      <w:pPr>
        <w:rPr>
          <w:rFonts w:ascii="Times New Roman Tj" w:hAnsi="Times New Roman Tj"/>
          <w:sz w:val="28"/>
          <w:szCs w:val="28"/>
        </w:rPr>
      </w:pPr>
      <w:r w:rsidRPr="00D30C28">
        <w:rPr>
          <w:rFonts w:ascii="Times New Roman Tj" w:hAnsi="Times New Roman Tj"/>
          <w:sz w:val="28"/>
          <w:szCs w:val="28"/>
        </w:rPr>
        <w:t xml:space="preserve">Из 162 наиболее важных промышленных товаров, производимых в стране, объем производства списка 116 (71,6 процента), в том числе детские игрушки (в 30 раз), полиэтиленовые пакеты для упаковки сырья (6,9 раза), бетонные плитки (6.8 раза), клей (в 5,1 раза), мясные и растительные консервы (в 4,9 раза), типографические продукты (4 раза), клинкер (в 3,8 раза), влажные салфетки (в 3,4 раза), мыло (3 ферм, 4 раза), покрытие стеклянной тары (3,2 раза), алюминиевые отложения (3,1 раза), хлопковое волокно (2,8 раза), жиры (2,5 раза), (2,4 раза), печати и штампы (2,1 раза), бензина (84,5%), </w:t>
      </w:r>
      <w:proofErr w:type="spellStart"/>
      <w:r w:rsidRPr="00D30C28">
        <w:rPr>
          <w:rFonts w:ascii="Times New Roman Tj" w:hAnsi="Times New Roman Tj"/>
          <w:sz w:val="28"/>
          <w:szCs w:val="28"/>
        </w:rPr>
        <w:t>пеноблок</w:t>
      </w:r>
      <w:proofErr w:type="spellEnd"/>
      <w:r w:rsidRPr="00D30C28">
        <w:rPr>
          <w:rFonts w:ascii="Times New Roman Tj" w:hAnsi="Times New Roman Tj"/>
          <w:sz w:val="28"/>
          <w:szCs w:val="28"/>
        </w:rPr>
        <w:t xml:space="preserve"> (63,5%), цемент (53%), </w:t>
      </w:r>
      <w:r w:rsidRPr="00D30C28">
        <w:rPr>
          <w:rFonts w:ascii="Times New Roman Tj" w:hAnsi="Times New Roman Tj"/>
          <w:sz w:val="28"/>
          <w:szCs w:val="28"/>
        </w:rPr>
        <w:lastRenderedPageBreak/>
        <w:t>металлические трубы (44,5%), ковры и столярные изделия (33,6%), изделия из резины (32,8%), каменные зерна (31,5%), мебель (23,9%),  безалкогольные напитки (17,4%) и кондитерские изделия( 13,3%) по сравнению с аналогичным периодом прошлого года.</w:t>
      </w:r>
    </w:p>
    <w:p w:rsidR="00040FC2" w:rsidRPr="00D30C28" w:rsidRDefault="00040FC2" w:rsidP="00040FC2">
      <w:pPr>
        <w:rPr>
          <w:rFonts w:ascii="Times New Roman Tj" w:hAnsi="Times New Roman Tj"/>
          <w:sz w:val="28"/>
          <w:szCs w:val="28"/>
        </w:rPr>
      </w:pPr>
      <w:r w:rsidRPr="00D30C28">
        <w:rPr>
          <w:rFonts w:ascii="Times New Roman Tj" w:hAnsi="Times New Roman Tj"/>
          <w:sz w:val="28"/>
          <w:szCs w:val="28"/>
        </w:rPr>
        <w:t xml:space="preserve"> Восемь вида товаров, которые не были произведены в прошлом году (4,9%), в том числе шампанское, </w:t>
      </w:r>
      <w:proofErr w:type="spellStart"/>
      <w:r w:rsidRPr="00D30C28">
        <w:rPr>
          <w:rFonts w:ascii="Times New Roman Tj" w:hAnsi="Times New Roman Tj"/>
          <w:sz w:val="28"/>
          <w:szCs w:val="28"/>
        </w:rPr>
        <w:t>кальцид</w:t>
      </w:r>
      <w:proofErr w:type="spellEnd"/>
      <w:r w:rsidRPr="00D30C28">
        <w:rPr>
          <w:rFonts w:ascii="Times New Roman Tj" w:hAnsi="Times New Roman Tj"/>
          <w:sz w:val="28"/>
          <w:szCs w:val="28"/>
        </w:rPr>
        <w:t>, криолит, фторид алюминия, коагулянта, мягкие кровельные материалы, ртуть и сельскохозяйственные машины, в этом году их производство были восстановлены.</w:t>
      </w:r>
    </w:p>
    <w:p w:rsidR="00040FC2" w:rsidRPr="00D30C28" w:rsidRDefault="00040FC2" w:rsidP="00040FC2">
      <w:pPr>
        <w:rPr>
          <w:rFonts w:ascii="Times New Roman Tj" w:hAnsi="Times New Roman Tj"/>
          <w:sz w:val="28"/>
          <w:szCs w:val="28"/>
        </w:rPr>
      </w:pPr>
      <w:r w:rsidRPr="00D30C28">
        <w:rPr>
          <w:rFonts w:ascii="Times New Roman Tj" w:hAnsi="Times New Roman Tj"/>
          <w:b/>
          <w:sz w:val="28"/>
          <w:szCs w:val="28"/>
        </w:rPr>
        <w:t>Производство электроэнергии</w:t>
      </w:r>
      <w:r w:rsidRPr="00D30C28">
        <w:rPr>
          <w:rFonts w:ascii="Times New Roman Tj" w:hAnsi="Times New Roman Tj"/>
          <w:sz w:val="28"/>
          <w:szCs w:val="28"/>
        </w:rPr>
        <w:t>.</w:t>
      </w:r>
    </w:p>
    <w:p w:rsidR="00040FC2" w:rsidRPr="00D30C28" w:rsidRDefault="00040FC2" w:rsidP="00040FC2">
      <w:pPr>
        <w:rPr>
          <w:rFonts w:ascii="Times New Roman Tj" w:hAnsi="Times New Roman Tj"/>
          <w:sz w:val="28"/>
          <w:szCs w:val="28"/>
        </w:rPr>
      </w:pPr>
      <w:r w:rsidRPr="00D30C28">
        <w:rPr>
          <w:rFonts w:ascii="Times New Roman Tj" w:hAnsi="Times New Roman Tj"/>
          <w:sz w:val="28"/>
          <w:szCs w:val="28"/>
        </w:rPr>
        <w:t xml:space="preserve">     В первом полугодии 2018 года производство электроэнергии в стране составило 9500,1 млн. кВт. Этот показатель составил 358,3 млн. долларов США за аналогичный период прошлого </w:t>
      </w:r>
      <w:proofErr w:type="spellStart"/>
      <w:r w:rsidRPr="00D30C28">
        <w:rPr>
          <w:rFonts w:ascii="Times New Roman Tj" w:hAnsi="Times New Roman Tj"/>
          <w:sz w:val="28"/>
          <w:szCs w:val="28"/>
        </w:rPr>
        <w:t>года.кВт</w:t>
      </w:r>
      <w:proofErr w:type="spellEnd"/>
      <w:r w:rsidRPr="00D30C28">
        <w:rPr>
          <w:rFonts w:ascii="Times New Roman Tj" w:hAnsi="Times New Roman Tj"/>
          <w:sz w:val="28"/>
          <w:szCs w:val="28"/>
        </w:rPr>
        <w:t>. обеспечивая 103,9% от общего числа.</w:t>
      </w:r>
    </w:p>
    <w:p w:rsidR="00040FC2" w:rsidRPr="00D30C28" w:rsidRDefault="00040FC2" w:rsidP="00040FC2">
      <w:pPr>
        <w:rPr>
          <w:rFonts w:ascii="Times New Roman Tj" w:hAnsi="Times New Roman Tj"/>
          <w:sz w:val="28"/>
          <w:szCs w:val="28"/>
        </w:rPr>
      </w:pPr>
      <w:r w:rsidRPr="00D30C28">
        <w:rPr>
          <w:rFonts w:ascii="Times New Roman Tj" w:hAnsi="Times New Roman Tj"/>
          <w:sz w:val="28"/>
          <w:szCs w:val="28"/>
        </w:rPr>
        <w:t xml:space="preserve"> В то же время производство электроэнергии в стране составляет 1678,0 млн. Он </w:t>
      </w:r>
      <w:r w:rsidRPr="00D30C28">
        <w:rPr>
          <w:rFonts w:ascii="Times New Roman Tj" w:hAnsi="Times New Roman Tj"/>
          <w:sz w:val="28"/>
          <w:szCs w:val="28"/>
          <w:lang w:val="en-US"/>
        </w:rPr>
        <w:t>c</w:t>
      </w:r>
      <w:r w:rsidRPr="00D30C28">
        <w:rPr>
          <w:rFonts w:ascii="Times New Roman Tj" w:hAnsi="Times New Roman Tj"/>
          <w:sz w:val="28"/>
          <w:szCs w:val="28"/>
        </w:rPr>
        <w:t xml:space="preserve">оставил 103,0% по сравнению с аналогичным периодом прошлого года. </w:t>
      </w:r>
    </w:p>
    <w:p w:rsidR="00040FC2" w:rsidRPr="00D30C28" w:rsidRDefault="00040FC2" w:rsidP="00040FC2">
      <w:pPr>
        <w:rPr>
          <w:rFonts w:ascii="Times New Roman Tj" w:hAnsi="Times New Roman Tj"/>
          <w:sz w:val="28"/>
          <w:szCs w:val="28"/>
        </w:rPr>
      </w:pPr>
      <w:r w:rsidRPr="00D30C28">
        <w:rPr>
          <w:rFonts w:ascii="Times New Roman Tj" w:hAnsi="Times New Roman Tj"/>
          <w:sz w:val="28"/>
          <w:szCs w:val="28"/>
        </w:rPr>
        <w:t>За отчетный период производство электроэнергии в стране было зарегистрировано независимыми экспортерами страны:</w:t>
      </w:r>
    </w:p>
    <w:p w:rsidR="00040FC2" w:rsidRPr="00D30C28" w:rsidRDefault="00040FC2" w:rsidP="00040FC2">
      <w:pPr>
        <w:rPr>
          <w:rFonts w:ascii="Times New Roman Tj" w:hAnsi="Times New Roman Tj"/>
          <w:sz w:val="28"/>
          <w:szCs w:val="28"/>
        </w:rPr>
      </w:pPr>
      <w:r w:rsidRPr="00D30C28">
        <w:rPr>
          <w:rFonts w:ascii="Times New Roman Tj" w:hAnsi="Times New Roman Tj"/>
          <w:sz w:val="28"/>
          <w:szCs w:val="28"/>
        </w:rPr>
        <w:t xml:space="preserve"> - «ОАО» Барки </w:t>
      </w:r>
      <w:proofErr w:type="spellStart"/>
      <w:r w:rsidRPr="00D30C28">
        <w:rPr>
          <w:rFonts w:ascii="Times New Roman Tj" w:hAnsi="Times New Roman Tj"/>
          <w:sz w:val="28"/>
          <w:szCs w:val="28"/>
        </w:rPr>
        <w:t>Точик</w:t>
      </w:r>
      <w:proofErr w:type="spellEnd"/>
      <w:r w:rsidRPr="00D30C28">
        <w:rPr>
          <w:rFonts w:ascii="Times New Roman Tj" w:hAnsi="Times New Roman Tj"/>
          <w:sz w:val="28"/>
          <w:szCs w:val="28"/>
        </w:rPr>
        <w:t xml:space="preserve"> - 7662,1 млн. кВт. Производство электроэнергии было зарегистрировано за аналогичный период прошлого года и составило 69,0 млн. кВт. час и 99,1%; </w:t>
      </w:r>
    </w:p>
    <w:p w:rsidR="00040FC2" w:rsidRPr="00D30C28" w:rsidRDefault="00040FC2" w:rsidP="00040FC2">
      <w:pPr>
        <w:rPr>
          <w:rFonts w:ascii="Times New Roman Tj" w:hAnsi="Times New Roman Tj"/>
          <w:sz w:val="28"/>
          <w:szCs w:val="28"/>
        </w:rPr>
      </w:pPr>
      <w:r w:rsidRPr="00D30C28">
        <w:rPr>
          <w:rFonts w:ascii="Times New Roman Tj" w:hAnsi="Times New Roman Tj"/>
          <w:sz w:val="28"/>
          <w:szCs w:val="28"/>
        </w:rPr>
        <w:t xml:space="preserve">- «ГЭС Сангтуда-1»-1298,2 млн. </w:t>
      </w:r>
      <w:proofErr w:type="spellStart"/>
      <w:r w:rsidRPr="00D30C28">
        <w:rPr>
          <w:rFonts w:ascii="Times New Roman Tj" w:hAnsi="Times New Roman Tj"/>
          <w:sz w:val="28"/>
          <w:szCs w:val="28"/>
        </w:rPr>
        <w:t>кВт.час</w:t>
      </w:r>
      <w:proofErr w:type="spellEnd"/>
      <w:r w:rsidRPr="00D30C28">
        <w:rPr>
          <w:rFonts w:ascii="Times New Roman Tj" w:hAnsi="Times New Roman Tj"/>
          <w:sz w:val="28"/>
          <w:szCs w:val="28"/>
        </w:rPr>
        <w:t xml:space="preserve">. Выработка электроэнергии составила 348,3 млн. Долл. США. </w:t>
      </w:r>
      <w:proofErr w:type="spellStart"/>
      <w:r w:rsidRPr="00D30C28">
        <w:rPr>
          <w:rFonts w:ascii="Times New Roman Tj" w:hAnsi="Times New Roman Tj"/>
          <w:sz w:val="28"/>
          <w:szCs w:val="28"/>
        </w:rPr>
        <w:t>кВт.час</w:t>
      </w:r>
      <w:proofErr w:type="spellEnd"/>
      <w:r w:rsidRPr="00D30C28">
        <w:rPr>
          <w:rFonts w:ascii="Times New Roman Tj" w:hAnsi="Times New Roman Tj"/>
          <w:sz w:val="28"/>
          <w:szCs w:val="28"/>
        </w:rPr>
        <w:t xml:space="preserve"> и на уровне 136,7%;</w:t>
      </w:r>
    </w:p>
    <w:p w:rsidR="00040FC2" w:rsidRPr="00D30C28" w:rsidRDefault="00040FC2" w:rsidP="00040FC2">
      <w:pPr>
        <w:rPr>
          <w:rFonts w:ascii="Times New Roman Tj" w:hAnsi="Times New Roman Tj"/>
          <w:sz w:val="28"/>
          <w:szCs w:val="28"/>
        </w:rPr>
      </w:pPr>
      <w:r w:rsidRPr="00D30C28">
        <w:rPr>
          <w:rFonts w:ascii="Times New Roman Tj" w:hAnsi="Times New Roman Tj"/>
          <w:sz w:val="28"/>
          <w:szCs w:val="28"/>
        </w:rPr>
        <w:t xml:space="preserve">- «ГЭС - Сангтуда-2» - 444,3 млн. кВт. Час. Производство электроэнергии было зарегистрировано за аналогичный период прошлого года и составило 82,5 млн. Долларов </w:t>
      </w:r>
      <w:proofErr w:type="spellStart"/>
      <w:r w:rsidRPr="00D30C28">
        <w:rPr>
          <w:rFonts w:ascii="Times New Roman Tj" w:hAnsi="Times New Roman Tj"/>
          <w:sz w:val="28"/>
          <w:szCs w:val="28"/>
        </w:rPr>
        <w:t>США.кВт</w:t>
      </w:r>
      <w:proofErr w:type="spellEnd"/>
      <w:r w:rsidRPr="00D30C28">
        <w:rPr>
          <w:rFonts w:ascii="Times New Roman Tj" w:hAnsi="Times New Roman Tj"/>
          <w:sz w:val="28"/>
          <w:szCs w:val="28"/>
        </w:rPr>
        <w:t>. часа и 122,8 %;</w:t>
      </w:r>
    </w:p>
    <w:p w:rsidR="00040FC2" w:rsidRPr="00D30C28" w:rsidRDefault="00040FC2" w:rsidP="00040FC2">
      <w:pPr>
        <w:rPr>
          <w:rFonts w:ascii="Times New Roman Tj" w:hAnsi="Times New Roman Tj"/>
          <w:sz w:val="28"/>
          <w:szCs w:val="28"/>
        </w:rPr>
      </w:pPr>
      <w:r w:rsidRPr="00D30C28">
        <w:rPr>
          <w:rFonts w:ascii="Times New Roman Tj" w:hAnsi="Times New Roman Tj"/>
          <w:sz w:val="28"/>
          <w:szCs w:val="28"/>
        </w:rPr>
        <w:t xml:space="preserve"> -В «Памир-Энергия» -95,5 млн. </w:t>
      </w:r>
      <w:proofErr w:type="spellStart"/>
      <w:r w:rsidRPr="00D30C28">
        <w:rPr>
          <w:rFonts w:ascii="Times New Roman Tj" w:hAnsi="Times New Roman Tj"/>
          <w:sz w:val="28"/>
          <w:szCs w:val="28"/>
        </w:rPr>
        <w:t>кВт.час</w:t>
      </w:r>
      <w:proofErr w:type="spellEnd"/>
      <w:r w:rsidRPr="00D30C28">
        <w:rPr>
          <w:rFonts w:ascii="Times New Roman Tj" w:hAnsi="Times New Roman Tj"/>
          <w:sz w:val="28"/>
          <w:szCs w:val="28"/>
        </w:rPr>
        <w:t>. Производство электроэнергии увеличило этот показатель по сравнению с аналогичным периодом прошлого года 3,5млнкВт.часа и на уровне 96,5%.</w:t>
      </w:r>
    </w:p>
    <w:p w:rsidR="00040FC2" w:rsidRPr="00D30C28" w:rsidRDefault="00040FC2" w:rsidP="00040FC2">
      <w:pPr>
        <w:rPr>
          <w:rFonts w:ascii="Times New Roman Tj" w:hAnsi="Times New Roman Tj"/>
          <w:sz w:val="28"/>
          <w:szCs w:val="28"/>
        </w:rPr>
      </w:pPr>
      <w:r w:rsidRPr="00D30C28">
        <w:rPr>
          <w:rFonts w:ascii="Times New Roman Tj" w:hAnsi="Times New Roman Tj"/>
          <w:sz w:val="28"/>
          <w:szCs w:val="28"/>
        </w:rPr>
        <w:t xml:space="preserve"> Сбор продаж электроэнергии от внутренних абонентов через «Барки </w:t>
      </w:r>
      <w:proofErr w:type="spellStart"/>
      <w:r w:rsidRPr="00D30C28">
        <w:rPr>
          <w:rFonts w:ascii="Times New Roman Tj" w:hAnsi="Times New Roman Tj"/>
          <w:sz w:val="28"/>
          <w:szCs w:val="28"/>
        </w:rPr>
        <w:t>Точик</w:t>
      </w:r>
      <w:proofErr w:type="spellEnd"/>
      <w:r w:rsidRPr="00D30C28">
        <w:rPr>
          <w:rFonts w:ascii="Times New Roman Tj" w:hAnsi="Times New Roman Tj"/>
          <w:sz w:val="28"/>
          <w:szCs w:val="28"/>
        </w:rPr>
        <w:t xml:space="preserve">» в первом полугодии текущего года составил 1031,3 млн. </w:t>
      </w:r>
      <w:proofErr w:type="spellStart"/>
      <w:r w:rsidRPr="00D30C28">
        <w:rPr>
          <w:rFonts w:ascii="Times New Roman Tj" w:hAnsi="Times New Roman Tj"/>
          <w:sz w:val="28"/>
          <w:szCs w:val="28"/>
        </w:rPr>
        <w:t>сомони</w:t>
      </w:r>
      <w:proofErr w:type="spellEnd"/>
      <w:r w:rsidRPr="00D30C28">
        <w:rPr>
          <w:rFonts w:ascii="Times New Roman Tj" w:hAnsi="Times New Roman Tj"/>
          <w:sz w:val="28"/>
          <w:szCs w:val="28"/>
        </w:rPr>
        <w:t xml:space="preserve">. По сравнению с аналогичным периодом прошлого года составил 219,6 млн. </w:t>
      </w:r>
      <w:proofErr w:type="spellStart"/>
      <w:r w:rsidRPr="00D30C28">
        <w:rPr>
          <w:rFonts w:ascii="Times New Roman Tj" w:hAnsi="Times New Roman Tj"/>
          <w:sz w:val="28"/>
          <w:szCs w:val="28"/>
        </w:rPr>
        <w:t>сомони</w:t>
      </w:r>
      <w:proofErr w:type="spellEnd"/>
      <w:r w:rsidRPr="00D30C28">
        <w:rPr>
          <w:rFonts w:ascii="Times New Roman Tj" w:hAnsi="Times New Roman Tj"/>
          <w:sz w:val="28"/>
          <w:szCs w:val="28"/>
        </w:rPr>
        <w:t xml:space="preserve"> или 28,6%.</w:t>
      </w:r>
    </w:p>
    <w:p w:rsidR="00040FC2" w:rsidRPr="00D30C28" w:rsidRDefault="00040FC2" w:rsidP="00040FC2">
      <w:pPr>
        <w:rPr>
          <w:rFonts w:ascii="Times New Roman Tj" w:hAnsi="Times New Roman Tj"/>
          <w:sz w:val="28"/>
          <w:szCs w:val="28"/>
        </w:rPr>
      </w:pPr>
      <w:r w:rsidRPr="00D30C28">
        <w:rPr>
          <w:rFonts w:ascii="Times New Roman Tj" w:hAnsi="Times New Roman Tj"/>
          <w:sz w:val="28"/>
          <w:szCs w:val="28"/>
        </w:rPr>
        <w:lastRenderedPageBreak/>
        <w:t xml:space="preserve">    Объем производства тепловой энергии за отчетный период достиг 332,2 тыс. Гкал, по сравнению с аналогичным периодом прошлого года в размере 106,1 тыс. Гкал и на уровне 146,9%.</w:t>
      </w:r>
    </w:p>
    <w:p w:rsidR="00040FC2" w:rsidRPr="00D30C28" w:rsidRDefault="00040FC2" w:rsidP="00040FC2">
      <w:pPr>
        <w:rPr>
          <w:rFonts w:ascii="Times New Roman Tj" w:hAnsi="Times New Roman Tj"/>
          <w:b/>
          <w:sz w:val="28"/>
          <w:szCs w:val="28"/>
        </w:rPr>
      </w:pPr>
      <w:r w:rsidRPr="00D30C28">
        <w:rPr>
          <w:rFonts w:ascii="Times New Roman Tj" w:hAnsi="Times New Roman Tj"/>
          <w:b/>
          <w:sz w:val="28"/>
          <w:szCs w:val="28"/>
        </w:rPr>
        <w:t>Об осенне-зимнем периоде</w:t>
      </w:r>
    </w:p>
    <w:p w:rsidR="00040FC2" w:rsidRPr="00D30C28" w:rsidRDefault="00040FC2" w:rsidP="00040FC2">
      <w:pPr>
        <w:rPr>
          <w:rFonts w:ascii="Times New Roman Tj" w:hAnsi="Times New Roman Tj"/>
          <w:sz w:val="28"/>
          <w:szCs w:val="28"/>
        </w:rPr>
      </w:pPr>
      <w:r w:rsidRPr="00D30C28">
        <w:rPr>
          <w:rFonts w:ascii="Times New Roman Tj" w:hAnsi="Times New Roman Tj"/>
          <w:sz w:val="28"/>
          <w:szCs w:val="28"/>
        </w:rPr>
        <w:t>Министерство экономического развития и торговли в соответствии с пунктом 2 постановления от 29 декабря 2017, 586, «По плану работы Правительства республики в первом полугодии 2018 года», и проект постановление Правительства Республики Таджикистан «</w:t>
      </w:r>
      <w:proofErr w:type="spellStart"/>
      <w:r w:rsidRPr="00D30C28">
        <w:rPr>
          <w:rFonts w:ascii="Times New Roman Tj" w:hAnsi="Times New Roman Tj"/>
          <w:sz w:val="28"/>
          <w:szCs w:val="28"/>
        </w:rPr>
        <w:t>Посвоевременной</w:t>
      </w:r>
      <w:proofErr w:type="spellEnd"/>
      <w:r w:rsidRPr="00D30C28">
        <w:rPr>
          <w:rFonts w:ascii="Times New Roman Tj" w:hAnsi="Times New Roman Tj"/>
          <w:sz w:val="28"/>
          <w:szCs w:val="28"/>
        </w:rPr>
        <w:t xml:space="preserve"> подготовке экономическим и социальным секторам республики для регулярной и эффективной работы в осенне-зимний период 2018-2019 годов» были утверждены и ратифицированы Правительством Республики Таджикистан 27 марта 2018 года № 147.</w:t>
      </w:r>
    </w:p>
    <w:p w:rsidR="00040FC2" w:rsidRPr="00D30C28" w:rsidRDefault="00040FC2" w:rsidP="00040FC2">
      <w:pPr>
        <w:rPr>
          <w:rFonts w:ascii="Times New Roman Tj" w:hAnsi="Times New Roman Tj"/>
          <w:sz w:val="28"/>
          <w:szCs w:val="28"/>
        </w:rPr>
      </w:pPr>
      <w:r w:rsidRPr="00D30C28">
        <w:rPr>
          <w:rFonts w:ascii="Times New Roman Tj" w:hAnsi="Times New Roman Tj"/>
          <w:sz w:val="28"/>
          <w:szCs w:val="28"/>
        </w:rPr>
        <w:t xml:space="preserve"> В целях реализации вышесказанного постановления от 29 министерств и ведомств и 17 исполнительных органов государственной власти, регионов, городов и районов республиканского подчинения подготовительном утверждения создать в осенне-зимний период 2018-2019 оперативного штаба и план действий, работы в это направление продолжаются.</w:t>
      </w:r>
    </w:p>
    <w:p w:rsidR="00040FC2" w:rsidRPr="00D30C28" w:rsidRDefault="00040FC2" w:rsidP="00040FC2">
      <w:pPr>
        <w:rPr>
          <w:rFonts w:ascii="Times New Roman Tj" w:hAnsi="Times New Roman Tj"/>
          <w:sz w:val="28"/>
          <w:szCs w:val="28"/>
        </w:rPr>
      </w:pPr>
    </w:p>
    <w:p w:rsidR="00040FC2" w:rsidRPr="00D30C28" w:rsidRDefault="00040FC2" w:rsidP="00040FC2">
      <w:pPr>
        <w:rPr>
          <w:rFonts w:ascii="Times New Roman Tj" w:hAnsi="Times New Roman Tj"/>
          <w:sz w:val="28"/>
          <w:szCs w:val="28"/>
        </w:rPr>
      </w:pPr>
      <w:r w:rsidRPr="00D30C28">
        <w:rPr>
          <w:rFonts w:ascii="Times New Roman Tj" w:hAnsi="Times New Roman Tj"/>
          <w:b/>
          <w:sz w:val="28"/>
          <w:szCs w:val="28"/>
        </w:rPr>
        <w:t>Сельское хозяйство</w:t>
      </w:r>
    </w:p>
    <w:p w:rsidR="00040FC2" w:rsidRPr="00D30C28" w:rsidRDefault="00040FC2" w:rsidP="00040FC2">
      <w:pPr>
        <w:rPr>
          <w:rFonts w:ascii="Times New Roman Tj" w:hAnsi="Times New Roman Tj"/>
          <w:sz w:val="28"/>
          <w:szCs w:val="28"/>
        </w:rPr>
      </w:pPr>
      <w:r w:rsidRPr="00D30C28">
        <w:rPr>
          <w:rFonts w:ascii="Times New Roman Tj" w:hAnsi="Times New Roman Tj"/>
          <w:sz w:val="28"/>
          <w:szCs w:val="28"/>
        </w:rPr>
        <w:t xml:space="preserve"> Валовой сельскохозяйственный продукт республики за первое полугодие 2018 года составил 6,7 </w:t>
      </w:r>
      <w:proofErr w:type="spellStart"/>
      <w:r w:rsidRPr="00D30C28">
        <w:rPr>
          <w:rFonts w:ascii="Times New Roman Tj" w:hAnsi="Times New Roman Tj"/>
          <w:sz w:val="28"/>
          <w:szCs w:val="28"/>
        </w:rPr>
        <w:t>млрд.сомони</w:t>
      </w:r>
      <w:proofErr w:type="spellEnd"/>
      <w:r w:rsidRPr="00D30C28">
        <w:rPr>
          <w:rFonts w:ascii="Times New Roman Tj" w:hAnsi="Times New Roman Tj"/>
          <w:sz w:val="28"/>
          <w:szCs w:val="28"/>
        </w:rPr>
        <w:t xml:space="preserve"> во всех видах хозяйств. Его реальный рост был обеспечен на уровне 8,5 %. В частности, сектор сельскохозяйственных культур вырос до 4,2 млрд. </w:t>
      </w:r>
      <w:proofErr w:type="spellStart"/>
      <w:r w:rsidRPr="00D30C28">
        <w:rPr>
          <w:rFonts w:ascii="Times New Roman Tj" w:hAnsi="Times New Roman Tj"/>
          <w:sz w:val="28"/>
          <w:szCs w:val="28"/>
        </w:rPr>
        <w:t>сомони</w:t>
      </w:r>
      <w:proofErr w:type="spellEnd"/>
      <w:r w:rsidRPr="00D30C28">
        <w:rPr>
          <w:rFonts w:ascii="Times New Roman Tj" w:hAnsi="Times New Roman Tj"/>
          <w:sz w:val="28"/>
          <w:szCs w:val="28"/>
        </w:rPr>
        <w:t xml:space="preserve"> и животноводческий сектор 2,5 </w:t>
      </w:r>
      <w:proofErr w:type="spellStart"/>
      <w:r w:rsidRPr="00D30C28">
        <w:rPr>
          <w:rFonts w:ascii="Times New Roman Tj" w:hAnsi="Times New Roman Tj"/>
          <w:sz w:val="28"/>
          <w:szCs w:val="28"/>
        </w:rPr>
        <w:t>млрдсомони</w:t>
      </w:r>
      <w:proofErr w:type="spellEnd"/>
      <w:r w:rsidRPr="00D30C28">
        <w:rPr>
          <w:rFonts w:ascii="Times New Roman Tj" w:hAnsi="Times New Roman Tj"/>
          <w:sz w:val="28"/>
          <w:szCs w:val="28"/>
        </w:rPr>
        <w:t>.</w:t>
      </w:r>
    </w:p>
    <w:p w:rsidR="00040FC2" w:rsidRPr="00D30C28" w:rsidRDefault="00040FC2" w:rsidP="00040FC2">
      <w:pPr>
        <w:jc w:val="center"/>
        <w:rPr>
          <w:rFonts w:ascii="Times New Roman Tj" w:hAnsi="Times New Roman Tj" w:cs="Times New Roman"/>
          <w:b/>
          <w:sz w:val="28"/>
          <w:szCs w:val="28"/>
        </w:rPr>
      </w:pPr>
    </w:p>
    <w:p w:rsidR="00040FC2" w:rsidRPr="00D30C28" w:rsidRDefault="00040FC2" w:rsidP="00040FC2">
      <w:pPr>
        <w:jc w:val="center"/>
        <w:rPr>
          <w:rFonts w:ascii="Times New Roman Tj" w:hAnsi="Times New Roman Tj" w:cs="Times New Roman"/>
          <w:b/>
          <w:sz w:val="28"/>
          <w:szCs w:val="28"/>
        </w:rPr>
      </w:pPr>
    </w:p>
    <w:p w:rsidR="00040FC2" w:rsidRPr="00D30C28" w:rsidRDefault="00040FC2" w:rsidP="00040FC2">
      <w:pPr>
        <w:jc w:val="center"/>
        <w:rPr>
          <w:rFonts w:ascii="Times New Roman Tj" w:hAnsi="Times New Roman Tj" w:cs="Times New Roman"/>
          <w:b/>
          <w:sz w:val="28"/>
          <w:szCs w:val="28"/>
        </w:rPr>
      </w:pPr>
    </w:p>
    <w:p w:rsidR="00040FC2" w:rsidRPr="00D30C28" w:rsidRDefault="00040FC2" w:rsidP="00040FC2">
      <w:pPr>
        <w:jc w:val="center"/>
        <w:rPr>
          <w:rFonts w:ascii="Times New Roman Tj" w:hAnsi="Times New Roman Tj" w:cs="Times New Roman"/>
          <w:b/>
          <w:sz w:val="28"/>
          <w:szCs w:val="28"/>
        </w:rPr>
      </w:pPr>
    </w:p>
    <w:p w:rsidR="00040FC2" w:rsidRPr="00D30C28" w:rsidRDefault="00040FC2" w:rsidP="00040FC2">
      <w:pPr>
        <w:jc w:val="center"/>
        <w:rPr>
          <w:rFonts w:ascii="Times New Roman Tj" w:hAnsi="Times New Roman Tj" w:cs="Times New Roman"/>
          <w:b/>
          <w:sz w:val="28"/>
          <w:szCs w:val="28"/>
        </w:rPr>
      </w:pPr>
    </w:p>
    <w:p w:rsidR="00040FC2" w:rsidRPr="00D30C28" w:rsidRDefault="00040FC2" w:rsidP="00040FC2">
      <w:pPr>
        <w:jc w:val="center"/>
        <w:rPr>
          <w:rFonts w:ascii="Times New Roman Tj" w:hAnsi="Times New Roman Tj" w:cs="Times New Roman"/>
          <w:b/>
          <w:sz w:val="28"/>
          <w:szCs w:val="28"/>
        </w:rPr>
      </w:pPr>
    </w:p>
    <w:p w:rsidR="00040FC2" w:rsidRPr="00D30C28" w:rsidRDefault="00040FC2" w:rsidP="00040FC2">
      <w:pPr>
        <w:jc w:val="center"/>
        <w:rPr>
          <w:rFonts w:ascii="Times New Roman Tj" w:hAnsi="Times New Roman Tj" w:cs="Times New Roman"/>
          <w:b/>
          <w:sz w:val="28"/>
          <w:szCs w:val="28"/>
        </w:rPr>
      </w:pPr>
    </w:p>
    <w:p w:rsidR="00040FC2" w:rsidRPr="00D30C28" w:rsidRDefault="00040FC2" w:rsidP="00040FC2">
      <w:pPr>
        <w:jc w:val="center"/>
        <w:rPr>
          <w:rFonts w:ascii="Times New Roman Tj" w:hAnsi="Times New Roman Tj" w:cs="Times New Roman"/>
          <w:b/>
          <w:sz w:val="28"/>
          <w:szCs w:val="28"/>
        </w:rPr>
      </w:pPr>
    </w:p>
    <w:p w:rsidR="00040FC2" w:rsidRPr="00D30C28" w:rsidRDefault="00040FC2" w:rsidP="00040FC2">
      <w:pPr>
        <w:jc w:val="center"/>
        <w:rPr>
          <w:rFonts w:ascii="Times New Roman Tj" w:hAnsi="Times New Roman Tj" w:cs="Times New Roman"/>
          <w:b/>
          <w:sz w:val="28"/>
          <w:szCs w:val="28"/>
        </w:rPr>
      </w:pPr>
      <w:r w:rsidRPr="00D30C28">
        <w:rPr>
          <w:rFonts w:ascii="Times New Roman Tj" w:hAnsi="Times New Roman Tj" w:cs="Times New Roman"/>
          <w:b/>
          <w:sz w:val="28"/>
          <w:szCs w:val="28"/>
        </w:rPr>
        <w:lastRenderedPageBreak/>
        <w:t>Объем сельскохозяйственного производства и его развитие в первых полугодиях 2014-2018 годов</w:t>
      </w:r>
    </w:p>
    <w:p w:rsidR="00040FC2" w:rsidRPr="00D30C28" w:rsidRDefault="00040FC2" w:rsidP="00040FC2">
      <w:pPr>
        <w:rPr>
          <w:rFonts w:ascii="Times New Roman Tj" w:hAnsi="Times New Roman Tj"/>
          <w:sz w:val="28"/>
          <w:szCs w:val="28"/>
        </w:rPr>
      </w:pPr>
      <w:r w:rsidRPr="00D30C28">
        <w:rPr>
          <w:rFonts w:ascii="Times New Roman Tj" w:hAnsi="Times New Roman Tj"/>
          <w:noProof/>
        </w:rPr>
        <w:drawing>
          <wp:inline distT="0" distB="0" distL="0" distR="0">
            <wp:extent cx="5515610" cy="2699385"/>
            <wp:effectExtent l="19050" t="0" r="0" b="0"/>
            <wp:docPr id="7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ъект 3"/>
                    <pic:cNvPicPr>
                      <a:picLocks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5610" cy="269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FC2" w:rsidRPr="00D30C28" w:rsidRDefault="00040FC2" w:rsidP="00040FC2">
      <w:pPr>
        <w:rPr>
          <w:rFonts w:ascii="Times New Roman Tj" w:hAnsi="Times New Roman Tj"/>
          <w:sz w:val="28"/>
          <w:szCs w:val="28"/>
        </w:rPr>
      </w:pPr>
      <w:r w:rsidRPr="00D30C28">
        <w:rPr>
          <w:rFonts w:ascii="Times New Roman Tj" w:hAnsi="Times New Roman Tj"/>
          <w:sz w:val="28"/>
          <w:szCs w:val="28"/>
        </w:rPr>
        <w:t xml:space="preserve">   В течение первых шести месяцев 2018 года во всех видах хозяйств было произведено зерно  512,5 тысяч тонн, 217,4 тысячи тонн картофеля, 719,2 </w:t>
      </w:r>
      <w:proofErr w:type="spellStart"/>
      <w:r w:rsidRPr="00D30C28">
        <w:rPr>
          <w:rFonts w:ascii="Times New Roman Tj" w:hAnsi="Times New Roman Tj"/>
          <w:sz w:val="28"/>
          <w:szCs w:val="28"/>
        </w:rPr>
        <w:t>тыс</w:t>
      </w:r>
      <w:proofErr w:type="spellEnd"/>
      <w:r w:rsidRPr="00D30C28">
        <w:rPr>
          <w:rFonts w:ascii="Times New Roman Tj" w:hAnsi="Times New Roman Tj"/>
          <w:sz w:val="28"/>
          <w:szCs w:val="28"/>
        </w:rPr>
        <w:t xml:space="preserve"> тонн овощей, в том числе лук, 401,4 </w:t>
      </w:r>
      <w:proofErr w:type="spellStart"/>
      <w:r w:rsidRPr="00D30C28">
        <w:rPr>
          <w:rFonts w:ascii="Times New Roman Tj" w:hAnsi="Times New Roman Tj"/>
          <w:sz w:val="28"/>
          <w:szCs w:val="28"/>
        </w:rPr>
        <w:t>тыс</w:t>
      </w:r>
      <w:proofErr w:type="spellEnd"/>
      <w:r w:rsidRPr="00D30C28">
        <w:rPr>
          <w:rFonts w:ascii="Times New Roman Tj" w:hAnsi="Times New Roman Tj"/>
          <w:sz w:val="28"/>
          <w:szCs w:val="28"/>
        </w:rPr>
        <w:t xml:space="preserve"> тонн, 190,2 </w:t>
      </w:r>
      <w:proofErr w:type="spellStart"/>
      <w:r w:rsidRPr="00D30C28">
        <w:rPr>
          <w:rFonts w:ascii="Times New Roman Tj" w:hAnsi="Times New Roman Tj"/>
          <w:sz w:val="28"/>
          <w:szCs w:val="28"/>
        </w:rPr>
        <w:t>тыс</w:t>
      </w:r>
      <w:proofErr w:type="spellEnd"/>
      <w:r w:rsidRPr="00D30C28">
        <w:rPr>
          <w:rFonts w:ascii="Times New Roman Tj" w:hAnsi="Times New Roman Tj"/>
          <w:sz w:val="28"/>
          <w:szCs w:val="28"/>
        </w:rPr>
        <w:t xml:space="preserve"> тонн, 101,4, виноград в 1,8 тысяч тонн, по сравнению с аналогичным </w:t>
      </w:r>
      <w:proofErr w:type="spellStart"/>
      <w:r w:rsidRPr="00D30C28">
        <w:rPr>
          <w:rFonts w:ascii="Times New Roman Tj" w:hAnsi="Times New Roman Tj"/>
          <w:sz w:val="28"/>
          <w:szCs w:val="28"/>
        </w:rPr>
        <w:t>периодомпрошлого</w:t>
      </w:r>
      <w:proofErr w:type="spellEnd"/>
      <w:r w:rsidRPr="00D30C28">
        <w:rPr>
          <w:rFonts w:ascii="Times New Roman Tj" w:hAnsi="Times New Roman Tj"/>
          <w:sz w:val="28"/>
          <w:szCs w:val="28"/>
        </w:rPr>
        <w:t xml:space="preserve"> года увеличилось производство картофеля 53,1%, 26,8% и овощей, в том числе лука 32,5%, 11,1%, 31,2 .Производство фруктов и виноградов увеличилось на 17,6 процента.</w:t>
      </w:r>
    </w:p>
    <w:p w:rsidR="00040FC2" w:rsidRPr="00D30C28" w:rsidRDefault="00040FC2" w:rsidP="00040FC2">
      <w:pPr>
        <w:rPr>
          <w:rFonts w:ascii="Times New Roman Tj" w:hAnsi="Times New Roman Tj"/>
          <w:sz w:val="28"/>
          <w:szCs w:val="28"/>
        </w:rPr>
      </w:pPr>
      <w:r w:rsidRPr="00D30C28">
        <w:rPr>
          <w:rFonts w:ascii="Times New Roman Tj" w:hAnsi="Times New Roman Tj"/>
          <w:sz w:val="28"/>
          <w:szCs w:val="28"/>
        </w:rPr>
        <w:t xml:space="preserve">В целях эффективного использования орошаемых земель в  фермах и фермы страны, а также ожидания благоприятной погоды для посадки в соответствии со статистическими данными по состоянию на 1 июня 2018 Посева яровых культур в области 425,3 тысяч гектаров, в том числе 101,8 тысяч гектаров зерновых и зернобобовых видов, 208,8 тыс. Гектаров сельскохозяйственных культур, 28,0 тыс. Гектаров картофеля, 37,8 тыс. Га, 15,8 тыс. Га, 23,5 тыс. Гектаров и 9,6 тыс. Га других видов культурных культур , что по сравнению с аналогичным периодом прошлого года  увеличилась на 24,7 </w:t>
      </w:r>
      <w:proofErr w:type="spellStart"/>
      <w:r w:rsidRPr="00D30C28">
        <w:rPr>
          <w:rFonts w:ascii="Times New Roman Tj" w:hAnsi="Times New Roman Tj"/>
          <w:sz w:val="28"/>
          <w:szCs w:val="28"/>
        </w:rPr>
        <w:t>тыс</w:t>
      </w:r>
      <w:proofErr w:type="spellEnd"/>
      <w:r w:rsidRPr="00D30C28">
        <w:rPr>
          <w:rFonts w:ascii="Times New Roman Tj" w:hAnsi="Times New Roman Tj"/>
          <w:sz w:val="28"/>
          <w:szCs w:val="28"/>
        </w:rPr>
        <w:t xml:space="preserve"> га, или 6,2 процента, бобовые посевной площади на 3,3%, 5,5% и кормовых культур и орошение снизилось на 0,9%.</w:t>
      </w:r>
    </w:p>
    <w:p w:rsidR="00040FC2" w:rsidRDefault="00040FC2" w:rsidP="00040FC2">
      <w:pPr>
        <w:rPr>
          <w:rFonts w:ascii="Times New Roman Tj" w:hAnsi="Times New Roman Tj"/>
          <w:sz w:val="28"/>
          <w:szCs w:val="28"/>
        </w:rPr>
      </w:pPr>
      <w:r w:rsidRPr="00D30C28">
        <w:rPr>
          <w:rFonts w:ascii="Times New Roman Tj" w:hAnsi="Times New Roman Tj"/>
          <w:sz w:val="28"/>
          <w:szCs w:val="28"/>
        </w:rPr>
        <w:t xml:space="preserve">   В отчетный период, сельскохозяйственные предприятия и фермы провели в 185724 гектаров хлопковых </w:t>
      </w:r>
      <w:proofErr w:type="spellStart"/>
      <w:r w:rsidRPr="00D30C28">
        <w:rPr>
          <w:rFonts w:ascii="Times New Roman Tj" w:hAnsi="Times New Roman Tj"/>
          <w:sz w:val="28"/>
          <w:szCs w:val="28"/>
        </w:rPr>
        <w:t>семен</w:t>
      </w:r>
      <w:proofErr w:type="spellEnd"/>
      <w:r w:rsidRPr="00D30C28">
        <w:rPr>
          <w:rFonts w:ascii="Times New Roman Tj" w:hAnsi="Times New Roman Tj"/>
          <w:sz w:val="28"/>
          <w:szCs w:val="28"/>
        </w:rPr>
        <w:t xml:space="preserve">, хозяйств  посевной площади, по сравнению с аналогичным периодом прошлого года увеличился на 6,8 процента или 11745 га, в том числе 122590 га в </w:t>
      </w:r>
      <w:proofErr w:type="spellStart"/>
      <w:r w:rsidRPr="00D30C28">
        <w:rPr>
          <w:rFonts w:ascii="Times New Roman Tj" w:hAnsi="Times New Roman Tj"/>
          <w:sz w:val="28"/>
          <w:szCs w:val="28"/>
        </w:rPr>
        <w:t>Хатлонской</w:t>
      </w:r>
      <w:proofErr w:type="spellEnd"/>
      <w:r w:rsidRPr="00D30C28">
        <w:rPr>
          <w:rFonts w:ascii="Times New Roman Tj" w:hAnsi="Times New Roman Tj"/>
          <w:sz w:val="28"/>
          <w:szCs w:val="28"/>
        </w:rPr>
        <w:t>, Согдийской области 56847 га и РРП В стране 6287 гектаров.</w:t>
      </w:r>
    </w:p>
    <w:p w:rsidR="00040FC2" w:rsidRPr="00D30C28" w:rsidRDefault="00040FC2" w:rsidP="00040FC2">
      <w:pPr>
        <w:rPr>
          <w:rFonts w:ascii="Times New Roman Tj" w:hAnsi="Times New Roman Tj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5"/>
        <w:gridCol w:w="1701"/>
        <w:gridCol w:w="1701"/>
        <w:gridCol w:w="1560"/>
        <w:gridCol w:w="1559"/>
      </w:tblGrid>
      <w:tr w:rsidR="00040FC2" w:rsidRPr="00D30C28" w:rsidTr="005068F1">
        <w:trPr>
          <w:trHeight w:val="851"/>
          <w:tblHeader/>
        </w:trPr>
        <w:tc>
          <w:tcPr>
            <w:tcW w:w="2835" w:type="dxa"/>
            <w:vAlign w:val="center"/>
          </w:tcPr>
          <w:p w:rsidR="00040FC2" w:rsidRPr="00D30C28" w:rsidRDefault="00040FC2" w:rsidP="005068F1">
            <w:pPr>
              <w:pStyle w:val="a3"/>
              <w:spacing w:line="276" w:lineRule="auto"/>
              <w:contextualSpacing/>
              <w:jc w:val="both"/>
              <w:rPr>
                <w:rFonts w:ascii="Times New Roman Tj" w:hAnsi="Times New Roman Tj" w:cs="Arial"/>
                <w:b/>
                <w:sz w:val="32"/>
                <w:szCs w:val="32"/>
                <w:shd w:val="clear" w:color="auto" w:fill="FFFFFF"/>
              </w:rPr>
            </w:pPr>
            <w:proofErr w:type="spellStart"/>
            <w:r w:rsidRPr="00D30C28">
              <w:rPr>
                <w:rFonts w:ascii="Times New Roman Tj" w:hAnsi="Times New Roman Tj" w:cs="Arial"/>
                <w:b/>
                <w:sz w:val="32"/>
                <w:szCs w:val="32"/>
                <w:shd w:val="clear" w:color="auto" w:fill="FFFFFF"/>
              </w:rPr>
              <w:lastRenderedPageBreak/>
              <w:t>Номгўй</w:t>
            </w:r>
            <w:proofErr w:type="spellEnd"/>
          </w:p>
        </w:tc>
        <w:tc>
          <w:tcPr>
            <w:tcW w:w="1701" w:type="dxa"/>
            <w:vAlign w:val="center"/>
          </w:tcPr>
          <w:p w:rsidR="00040FC2" w:rsidRPr="00D30C28" w:rsidRDefault="00040FC2" w:rsidP="005068F1">
            <w:pPr>
              <w:pStyle w:val="a3"/>
              <w:contextualSpacing/>
              <w:jc w:val="both"/>
              <w:rPr>
                <w:rFonts w:ascii="Times New Roman Tj" w:hAnsi="Times New Roman Tj" w:cs="Arial"/>
                <w:b/>
                <w:sz w:val="32"/>
                <w:szCs w:val="32"/>
                <w:shd w:val="clear" w:color="auto" w:fill="FFFFFF"/>
              </w:rPr>
            </w:pPr>
            <w:r w:rsidRPr="00D30C28">
              <w:rPr>
                <w:rFonts w:ascii="Times New Roman Tj" w:hAnsi="Times New Roman Tj" w:cs="Arial"/>
                <w:b/>
                <w:sz w:val="32"/>
                <w:szCs w:val="32"/>
                <w:shd w:val="clear" w:color="auto" w:fill="FFFFFF"/>
              </w:rPr>
              <w:t>Соли 2018</w:t>
            </w:r>
          </w:p>
        </w:tc>
        <w:tc>
          <w:tcPr>
            <w:tcW w:w="1701" w:type="dxa"/>
            <w:vAlign w:val="center"/>
          </w:tcPr>
          <w:p w:rsidR="00040FC2" w:rsidRPr="00D30C28" w:rsidRDefault="00040FC2" w:rsidP="005068F1">
            <w:pPr>
              <w:pStyle w:val="a3"/>
              <w:contextualSpacing/>
              <w:jc w:val="both"/>
              <w:rPr>
                <w:rFonts w:ascii="Times New Roman Tj" w:hAnsi="Times New Roman Tj" w:cs="Arial"/>
                <w:b/>
                <w:sz w:val="32"/>
                <w:szCs w:val="32"/>
                <w:shd w:val="clear" w:color="auto" w:fill="FFFFFF"/>
              </w:rPr>
            </w:pPr>
            <w:r w:rsidRPr="00D30C28">
              <w:rPr>
                <w:rFonts w:ascii="Times New Roman Tj" w:hAnsi="Times New Roman Tj" w:cs="Arial"/>
                <w:b/>
                <w:sz w:val="32"/>
                <w:szCs w:val="32"/>
                <w:shd w:val="clear" w:color="auto" w:fill="FFFFFF"/>
              </w:rPr>
              <w:t>Соли 2017</w:t>
            </w:r>
          </w:p>
        </w:tc>
        <w:tc>
          <w:tcPr>
            <w:tcW w:w="1560" w:type="dxa"/>
            <w:vAlign w:val="center"/>
          </w:tcPr>
          <w:p w:rsidR="00040FC2" w:rsidRPr="00D30C28" w:rsidRDefault="00040FC2" w:rsidP="005068F1">
            <w:pPr>
              <w:pStyle w:val="a3"/>
              <w:contextualSpacing/>
              <w:jc w:val="both"/>
              <w:rPr>
                <w:rFonts w:ascii="Times New Roman Tj" w:hAnsi="Times New Roman Tj" w:cs="Arial"/>
                <w:b/>
                <w:sz w:val="32"/>
                <w:szCs w:val="32"/>
                <w:shd w:val="clear" w:color="auto" w:fill="FFFFFF"/>
              </w:rPr>
            </w:pPr>
            <w:proofErr w:type="spellStart"/>
            <w:r w:rsidRPr="00D30C28">
              <w:rPr>
                <w:rFonts w:ascii="Times New Roman Tj" w:hAnsi="Times New Roman Tj" w:cs="Arial"/>
                <w:b/>
                <w:sz w:val="32"/>
                <w:szCs w:val="32"/>
                <w:shd w:val="clear" w:color="auto" w:fill="FFFFFF"/>
              </w:rPr>
              <w:t>Суръатиафзоиш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040FC2" w:rsidRPr="00D30C28" w:rsidRDefault="00040FC2" w:rsidP="005068F1">
            <w:pPr>
              <w:pStyle w:val="a3"/>
              <w:contextualSpacing/>
              <w:jc w:val="both"/>
              <w:rPr>
                <w:rFonts w:ascii="Times New Roman Tj" w:hAnsi="Times New Roman Tj" w:cs="Arial"/>
                <w:b/>
                <w:sz w:val="32"/>
                <w:szCs w:val="32"/>
                <w:shd w:val="clear" w:color="auto" w:fill="FFFFFF"/>
              </w:rPr>
            </w:pPr>
            <w:proofErr w:type="spellStart"/>
            <w:r w:rsidRPr="00D30C28">
              <w:rPr>
                <w:rFonts w:ascii="Times New Roman Tj" w:hAnsi="Times New Roman Tj" w:cs="Arial"/>
                <w:b/>
                <w:sz w:val="32"/>
                <w:szCs w:val="32"/>
                <w:shd w:val="clear" w:color="auto" w:fill="FFFFFF"/>
              </w:rPr>
              <w:t>Фарќият</w:t>
            </w:r>
            <w:proofErr w:type="spellEnd"/>
            <w:r w:rsidRPr="00D30C28">
              <w:rPr>
                <w:rFonts w:ascii="Times New Roman Tj" w:hAnsi="Times New Roman Tj" w:cs="Arial"/>
                <w:b/>
                <w:sz w:val="32"/>
                <w:szCs w:val="32"/>
                <w:shd w:val="clear" w:color="auto" w:fill="FFFFFF"/>
              </w:rPr>
              <w:t xml:space="preserve"> +/-</w:t>
            </w:r>
          </w:p>
        </w:tc>
      </w:tr>
      <w:tr w:rsidR="00040FC2" w:rsidRPr="00D30C28" w:rsidTr="005068F1">
        <w:tc>
          <w:tcPr>
            <w:tcW w:w="2835" w:type="dxa"/>
            <w:vAlign w:val="center"/>
          </w:tcPr>
          <w:p w:rsidR="00040FC2" w:rsidRPr="00D30C28" w:rsidRDefault="00040FC2" w:rsidP="005068F1">
            <w:pPr>
              <w:pStyle w:val="a3"/>
              <w:spacing w:line="276" w:lineRule="auto"/>
              <w:contextualSpacing/>
              <w:jc w:val="both"/>
              <w:rPr>
                <w:rFonts w:ascii="Times New Roman Tj" w:hAnsi="Times New Roman Tj" w:cs="Arial"/>
                <w:sz w:val="32"/>
                <w:szCs w:val="32"/>
                <w:shd w:val="clear" w:color="auto" w:fill="FFFFFF"/>
              </w:rPr>
            </w:pPr>
            <w:proofErr w:type="spellStart"/>
            <w:r w:rsidRPr="00D30C28">
              <w:rPr>
                <w:rFonts w:ascii="Times New Roman Tj" w:hAnsi="Times New Roman Tj" w:cs="Arial"/>
                <w:sz w:val="32"/>
                <w:szCs w:val="32"/>
                <w:shd w:val="clear" w:color="auto" w:fill="FFFFFF"/>
              </w:rPr>
              <w:t>Майдони</w:t>
            </w:r>
            <w:proofErr w:type="spellEnd"/>
          </w:p>
          <w:p w:rsidR="00040FC2" w:rsidRPr="00D30C28" w:rsidRDefault="00040FC2" w:rsidP="005068F1">
            <w:pPr>
              <w:pStyle w:val="a3"/>
              <w:spacing w:line="276" w:lineRule="auto"/>
              <w:contextualSpacing/>
              <w:jc w:val="both"/>
              <w:rPr>
                <w:rFonts w:ascii="Times New Roman Tj" w:hAnsi="Times New Roman Tj" w:cs="Arial"/>
                <w:sz w:val="32"/>
                <w:szCs w:val="32"/>
                <w:shd w:val="clear" w:color="auto" w:fill="FFFFFF"/>
              </w:rPr>
            </w:pPr>
            <w:proofErr w:type="spellStart"/>
            <w:r w:rsidRPr="00D30C28">
              <w:rPr>
                <w:rFonts w:ascii="Times New Roman Tj" w:hAnsi="Times New Roman Tj" w:cs="Arial"/>
                <w:sz w:val="32"/>
                <w:szCs w:val="32"/>
                <w:shd w:val="clear" w:color="auto" w:fill="FFFFFF"/>
              </w:rPr>
              <w:t>умумиикишти</w:t>
            </w:r>
            <w:proofErr w:type="spellEnd"/>
            <w:r w:rsidRPr="00D30C28">
              <w:rPr>
                <w:rFonts w:ascii="Times New Roman Tj" w:hAnsi="Times New Roman Tj" w:cs="Arial"/>
                <w:sz w:val="32"/>
                <w:szCs w:val="32"/>
                <w:shd w:val="clear" w:color="auto" w:fill="FFFFFF"/>
              </w:rPr>
              <w:t xml:space="preserve"> пахта</w:t>
            </w:r>
          </w:p>
        </w:tc>
        <w:tc>
          <w:tcPr>
            <w:tcW w:w="1701" w:type="dxa"/>
            <w:vAlign w:val="center"/>
          </w:tcPr>
          <w:p w:rsidR="00040FC2" w:rsidRPr="00D30C28" w:rsidRDefault="00040FC2" w:rsidP="005068F1">
            <w:pPr>
              <w:pStyle w:val="a3"/>
              <w:spacing w:line="276" w:lineRule="auto"/>
              <w:ind w:firstLine="34"/>
              <w:contextualSpacing/>
              <w:jc w:val="both"/>
              <w:rPr>
                <w:rFonts w:ascii="Times New Roman Tj" w:hAnsi="Times New Roman Tj" w:cs="Arial"/>
                <w:sz w:val="32"/>
                <w:szCs w:val="32"/>
                <w:shd w:val="clear" w:color="auto" w:fill="FFFFFF"/>
              </w:rPr>
            </w:pPr>
            <w:r w:rsidRPr="00D30C28">
              <w:rPr>
                <w:rFonts w:ascii="Times New Roman Tj" w:hAnsi="Times New Roman Tj" w:cs="Arial"/>
                <w:sz w:val="32"/>
                <w:szCs w:val="32"/>
                <w:shd w:val="clear" w:color="auto" w:fill="FFFFFF"/>
              </w:rPr>
              <w:t>185724</w:t>
            </w:r>
          </w:p>
        </w:tc>
        <w:tc>
          <w:tcPr>
            <w:tcW w:w="1701" w:type="dxa"/>
            <w:vAlign w:val="center"/>
          </w:tcPr>
          <w:p w:rsidR="00040FC2" w:rsidRPr="00D30C28" w:rsidRDefault="00040FC2" w:rsidP="005068F1">
            <w:pPr>
              <w:pStyle w:val="a3"/>
              <w:spacing w:line="276" w:lineRule="auto"/>
              <w:contextualSpacing/>
              <w:jc w:val="both"/>
              <w:rPr>
                <w:rFonts w:ascii="Times New Roman Tj" w:hAnsi="Times New Roman Tj" w:cs="Arial"/>
                <w:sz w:val="32"/>
                <w:szCs w:val="32"/>
                <w:shd w:val="clear" w:color="auto" w:fill="FFFFFF"/>
              </w:rPr>
            </w:pPr>
            <w:r w:rsidRPr="00D30C28">
              <w:rPr>
                <w:rFonts w:ascii="Times New Roman Tj" w:hAnsi="Times New Roman Tj" w:cs="Arial"/>
                <w:sz w:val="32"/>
                <w:szCs w:val="32"/>
                <w:shd w:val="clear" w:color="auto" w:fill="FFFFFF"/>
              </w:rPr>
              <w:t>173979</w:t>
            </w:r>
          </w:p>
        </w:tc>
        <w:tc>
          <w:tcPr>
            <w:tcW w:w="1560" w:type="dxa"/>
            <w:vAlign w:val="center"/>
          </w:tcPr>
          <w:p w:rsidR="00040FC2" w:rsidRPr="00D30C28" w:rsidRDefault="00040FC2" w:rsidP="005068F1">
            <w:pPr>
              <w:pStyle w:val="a3"/>
              <w:spacing w:line="276" w:lineRule="auto"/>
              <w:contextualSpacing/>
              <w:jc w:val="both"/>
              <w:rPr>
                <w:rFonts w:ascii="Times New Roman Tj" w:hAnsi="Times New Roman Tj" w:cs="Arial"/>
                <w:sz w:val="32"/>
                <w:szCs w:val="32"/>
                <w:shd w:val="clear" w:color="auto" w:fill="FFFFFF"/>
              </w:rPr>
            </w:pPr>
            <w:r w:rsidRPr="00D30C28">
              <w:rPr>
                <w:rFonts w:ascii="Times New Roman Tj" w:hAnsi="Times New Roman Tj" w:cs="Arial"/>
                <w:sz w:val="32"/>
                <w:szCs w:val="32"/>
                <w:shd w:val="clear" w:color="auto" w:fill="FFFFFF"/>
              </w:rPr>
              <w:t>106,8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040FC2" w:rsidRPr="00D30C28" w:rsidRDefault="00040FC2" w:rsidP="005068F1">
            <w:pPr>
              <w:pStyle w:val="a3"/>
              <w:spacing w:line="276" w:lineRule="auto"/>
              <w:contextualSpacing/>
              <w:jc w:val="both"/>
              <w:rPr>
                <w:rFonts w:ascii="Times New Roman Tj" w:hAnsi="Times New Roman Tj" w:cs="Arial"/>
                <w:sz w:val="32"/>
                <w:szCs w:val="32"/>
                <w:shd w:val="clear" w:color="auto" w:fill="FFFFFF"/>
              </w:rPr>
            </w:pPr>
            <w:r w:rsidRPr="00D30C28">
              <w:rPr>
                <w:rFonts w:ascii="Times New Roman Tj" w:hAnsi="Times New Roman Tj" w:cs="Arial"/>
                <w:sz w:val="32"/>
                <w:szCs w:val="32"/>
                <w:shd w:val="clear" w:color="auto" w:fill="FFFFFF"/>
              </w:rPr>
              <w:t>11745</w:t>
            </w:r>
          </w:p>
        </w:tc>
      </w:tr>
      <w:tr w:rsidR="00040FC2" w:rsidRPr="00D30C28" w:rsidTr="005068F1">
        <w:tc>
          <w:tcPr>
            <w:tcW w:w="9356" w:type="dxa"/>
            <w:gridSpan w:val="5"/>
            <w:tcBorders>
              <w:right w:val="single" w:sz="4" w:space="0" w:color="auto"/>
            </w:tcBorders>
          </w:tcPr>
          <w:p w:rsidR="00040FC2" w:rsidRPr="00D30C28" w:rsidRDefault="00040FC2" w:rsidP="005068F1">
            <w:pPr>
              <w:pStyle w:val="a3"/>
              <w:spacing w:line="276" w:lineRule="auto"/>
              <w:contextualSpacing/>
              <w:jc w:val="both"/>
              <w:rPr>
                <w:rFonts w:ascii="Times New Roman Tj" w:hAnsi="Times New Roman Tj" w:cs="Arial"/>
                <w:sz w:val="32"/>
                <w:szCs w:val="32"/>
                <w:shd w:val="clear" w:color="auto" w:fill="FFFFFF"/>
              </w:rPr>
            </w:pPr>
            <w:r w:rsidRPr="00D30C28">
              <w:rPr>
                <w:rFonts w:ascii="Times New Roman Tj" w:hAnsi="Times New Roman Tj" w:cs="Arial"/>
                <w:sz w:val="32"/>
                <w:szCs w:val="32"/>
                <w:shd w:val="clear" w:color="auto" w:fill="FFFFFF"/>
              </w:rPr>
              <w:t xml:space="preserve">     аз </w:t>
            </w:r>
            <w:proofErr w:type="spellStart"/>
            <w:r w:rsidRPr="00D30C28">
              <w:rPr>
                <w:rFonts w:ascii="Times New Roman Tj" w:hAnsi="Times New Roman Tj" w:cs="Arial"/>
                <w:sz w:val="32"/>
                <w:szCs w:val="32"/>
                <w:shd w:val="clear" w:color="auto" w:fill="FFFFFF"/>
              </w:rPr>
              <w:t>љумла</w:t>
            </w:r>
            <w:proofErr w:type="spellEnd"/>
            <w:r w:rsidRPr="00D30C28">
              <w:rPr>
                <w:rFonts w:ascii="Times New Roman Tj" w:hAnsi="Times New Roman Tj" w:cs="Arial"/>
                <w:sz w:val="32"/>
                <w:szCs w:val="32"/>
                <w:shd w:val="clear" w:color="auto" w:fill="FFFFFF"/>
              </w:rPr>
              <w:t xml:space="preserve">: </w:t>
            </w:r>
          </w:p>
        </w:tc>
      </w:tr>
      <w:tr w:rsidR="00040FC2" w:rsidRPr="00D30C28" w:rsidTr="005068F1">
        <w:tc>
          <w:tcPr>
            <w:tcW w:w="2835" w:type="dxa"/>
          </w:tcPr>
          <w:p w:rsidR="00040FC2" w:rsidRPr="00D30C28" w:rsidRDefault="00040FC2" w:rsidP="005068F1">
            <w:pPr>
              <w:pStyle w:val="a3"/>
              <w:spacing w:line="276" w:lineRule="auto"/>
              <w:contextualSpacing/>
              <w:jc w:val="both"/>
              <w:rPr>
                <w:rFonts w:ascii="Times New Roman Tj" w:hAnsi="Times New Roman Tj" w:cs="Arial"/>
                <w:sz w:val="32"/>
                <w:szCs w:val="32"/>
                <w:shd w:val="clear" w:color="auto" w:fill="FFFFFF"/>
              </w:rPr>
            </w:pPr>
            <w:proofErr w:type="spellStart"/>
            <w:r w:rsidRPr="00D30C28">
              <w:rPr>
                <w:rFonts w:ascii="Times New Roman Tj" w:hAnsi="Times New Roman Tj" w:cs="Arial"/>
                <w:sz w:val="32"/>
                <w:szCs w:val="32"/>
                <w:shd w:val="clear" w:color="auto" w:fill="FFFFFF"/>
              </w:rPr>
              <w:t>ВилоятиХатлон</w:t>
            </w:r>
            <w:proofErr w:type="spellEnd"/>
          </w:p>
        </w:tc>
        <w:tc>
          <w:tcPr>
            <w:tcW w:w="1701" w:type="dxa"/>
            <w:vAlign w:val="center"/>
          </w:tcPr>
          <w:p w:rsidR="00040FC2" w:rsidRPr="00D30C28" w:rsidRDefault="00040FC2" w:rsidP="005068F1">
            <w:pPr>
              <w:pStyle w:val="a3"/>
              <w:spacing w:line="276" w:lineRule="auto"/>
              <w:ind w:firstLine="34"/>
              <w:contextualSpacing/>
              <w:jc w:val="both"/>
              <w:rPr>
                <w:rFonts w:ascii="Times New Roman Tj" w:hAnsi="Times New Roman Tj" w:cs="Arial"/>
                <w:sz w:val="32"/>
                <w:szCs w:val="32"/>
                <w:shd w:val="clear" w:color="auto" w:fill="FFFFFF"/>
              </w:rPr>
            </w:pPr>
            <w:r w:rsidRPr="00D30C28">
              <w:rPr>
                <w:rFonts w:ascii="Times New Roman Tj" w:hAnsi="Times New Roman Tj"/>
                <w:sz w:val="32"/>
                <w:szCs w:val="32"/>
              </w:rPr>
              <w:t>122590</w:t>
            </w:r>
          </w:p>
        </w:tc>
        <w:tc>
          <w:tcPr>
            <w:tcW w:w="1701" w:type="dxa"/>
            <w:vAlign w:val="center"/>
          </w:tcPr>
          <w:p w:rsidR="00040FC2" w:rsidRPr="00D30C28" w:rsidRDefault="00040FC2" w:rsidP="005068F1">
            <w:pPr>
              <w:pStyle w:val="a3"/>
              <w:spacing w:line="276" w:lineRule="auto"/>
              <w:ind w:firstLine="34"/>
              <w:contextualSpacing/>
              <w:jc w:val="both"/>
              <w:rPr>
                <w:rFonts w:ascii="Times New Roman Tj" w:hAnsi="Times New Roman Tj" w:cs="Arial"/>
                <w:sz w:val="32"/>
                <w:szCs w:val="32"/>
                <w:shd w:val="clear" w:color="auto" w:fill="FFFFFF"/>
              </w:rPr>
            </w:pPr>
            <w:r w:rsidRPr="00D30C28">
              <w:rPr>
                <w:rFonts w:ascii="Times New Roman Tj" w:hAnsi="Times New Roman Tj" w:cs="Arial"/>
                <w:sz w:val="32"/>
                <w:szCs w:val="32"/>
                <w:shd w:val="clear" w:color="auto" w:fill="FFFFFF"/>
              </w:rPr>
              <w:t>119550</w:t>
            </w:r>
          </w:p>
        </w:tc>
        <w:tc>
          <w:tcPr>
            <w:tcW w:w="1560" w:type="dxa"/>
            <w:vAlign w:val="center"/>
          </w:tcPr>
          <w:p w:rsidR="00040FC2" w:rsidRPr="00D30C28" w:rsidRDefault="00040FC2" w:rsidP="005068F1">
            <w:pPr>
              <w:pStyle w:val="a3"/>
              <w:spacing w:line="276" w:lineRule="auto"/>
              <w:contextualSpacing/>
              <w:jc w:val="both"/>
              <w:rPr>
                <w:rFonts w:ascii="Times New Roman Tj" w:hAnsi="Times New Roman Tj" w:cs="Arial"/>
                <w:sz w:val="32"/>
                <w:szCs w:val="32"/>
                <w:shd w:val="clear" w:color="auto" w:fill="FFFFFF"/>
              </w:rPr>
            </w:pPr>
            <w:r w:rsidRPr="00D30C28">
              <w:rPr>
                <w:rFonts w:ascii="Times New Roman Tj" w:hAnsi="Times New Roman Tj" w:cs="Arial"/>
                <w:sz w:val="32"/>
                <w:szCs w:val="32"/>
                <w:shd w:val="clear" w:color="auto" w:fill="FFFFFF"/>
              </w:rPr>
              <w:t>102,5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040FC2" w:rsidRPr="00D30C28" w:rsidRDefault="00040FC2" w:rsidP="005068F1">
            <w:pPr>
              <w:pStyle w:val="a3"/>
              <w:spacing w:line="276" w:lineRule="auto"/>
              <w:contextualSpacing/>
              <w:jc w:val="both"/>
              <w:rPr>
                <w:rFonts w:ascii="Times New Roman Tj" w:hAnsi="Times New Roman Tj" w:cs="Arial"/>
                <w:sz w:val="32"/>
                <w:szCs w:val="32"/>
                <w:shd w:val="clear" w:color="auto" w:fill="FFFFFF"/>
              </w:rPr>
            </w:pPr>
            <w:r w:rsidRPr="00D30C28">
              <w:rPr>
                <w:rFonts w:ascii="Times New Roman Tj" w:hAnsi="Times New Roman Tj" w:cs="Arial"/>
                <w:sz w:val="32"/>
                <w:szCs w:val="32"/>
                <w:shd w:val="clear" w:color="auto" w:fill="FFFFFF"/>
              </w:rPr>
              <w:t>3040</w:t>
            </w:r>
          </w:p>
        </w:tc>
      </w:tr>
      <w:tr w:rsidR="00040FC2" w:rsidRPr="00D30C28" w:rsidTr="005068F1">
        <w:tc>
          <w:tcPr>
            <w:tcW w:w="2835" w:type="dxa"/>
          </w:tcPr>
          <w:p w:rsidR="00040FC2" w:rsidRPr="00D30C28" w:rsidRDefault="00040FC2" w:rsidP="005068F1">
            <w:pPr>
              <w:pStyle w:val="a3"/>
              <w:spacing w:line="276" w:lineRule="auto"/>
              <w:contextualSpacing/>
              <w:jc w:val="both"/>
              <w:rPr>
                <w:rFonts w:ascii="Times New Roman Tj" w:hAnsi="Times New Roman Tj" w:cs="Arial"/>
                <w:sz w:val="32"/>
                <w:szCs w:val="32"/>
                <w:shd w:val="clear" w:color="auto" w:fill="FFFFFF"/>
              </w:rPr>
            </w:pPr>
            <w:proofErr w:type="spellStart"/>
            <w:r w:rsidRPr="00D30C28">
              <w:rPr>
                <w:rFonts w:ascii="Times New Roman Tj" w:hAnsi="Times New Roman Tj" w:cs="Arial"/>
                <w:sz w:val="32"/>
                <w:szCs w:val="32"/>
                <w:shd w:val="clear" w:color="auto" w:fill="FFFFFF"/>
              </w:rPr>
              <w:t>ВилоятиСуѓд</w:t>
            </w:r>
            <w:proofErr w:type="spellEnd"/>
          </w:p>
        </w:tc>
        <w:tc>
          <w:tcPr>
            <w:tcW w:w="1701" w:type="dxa"/>
            <w:vAlign w:val="center"/>
          </w:tcPr>
          <w:p w:rsidR="00040FC2" w:rsidRPr="00D30C28" w:rsidRDefault="00040FC2" w:rsidP="005068F1">
            <w:pPr>
              <w:pStyle w:val="a3"/>
              <w:spacing w:line="276" w:lineRule="auto"/>
              <w:ind w:firstLine="34"/>
              <w:contextualSpacing/>
              <w:jc w:val="both"/>
              <w:rPr>
                <w:rFonts w:ascii="Times New Roman Tj" w:hAnsi="Times New Roman Tj" w:cs="Arial"/>
                <w:sz w:val="32"/>
                <w:szCs w:val="32"/>
                <w:shd w:val="clear" w:color="auto" w:fill="FFFFFF"/>
              </w:rPr>
            </w:pPr>
            <w:r w:rsidRPr="00D30C28">
              <w:rPr>
                <w:rFonts w:ascii="Times New Roman Tj" w:hAnsi="Times New Roman Tj"/>
                <w:sz w:val="32"/>
                <w:szCs w:val="32"/>
              </w:rPr>
              <w:t>56847</w:t>
            </w:r>
          </w:p>
        </w:tc>
        <w:tc>
          <w:tcPr>
            <w:tcW w:w="1701" w:type="dxa"/>
            <w:vAlign w:val="center"/>
          </w:tcPr>
          <w:p w:rsidR="00040FC2" w:rsidRPr="00D30C28" w:rsidRDefault="00040FC2" w:rsidP="005068F1">
            <w:pPr>
              <w:pStyle w:val="a3"/>
              <w:spacing w:line="276" w:lineRule="auto"/>
              <w:ind w:firstLine="34"/>
              <w:contextualSpacing/>
              <w:jc w:val="both"/>
              <w:rPr>
                <w:rFonts w:ascii="Times New Roman Tj" w:hAnsi="Times New Roman Tj" w:cs="Arial"/>
                <w:sz w:val="32"/>
                <w:szCs w:val="32"/>
                <w:shd w:val="clear" w:color="auto" w:fill="FFFFFF"/>
              </w:rPr>
            </w:pPr>
            <w:r w:rsidRPr="00D30C28">
              <w:rPr>
                <w:rFonts w:ascii="Times New Roman Tj" w:hAnsi="Times New Roman Tj" w:cs="Arial"/>
                <w:sz w:val="32"/>
                <w:szCs w:val="32"/>
                <w:shd w:val="clear" w:color="auto" w:fill="FFFFFF"/>
              </w:rPr>
              <w:t>50765</w:t>
            </w:r>
          </w:p>
        </w:tc>
        <w:tc>
          <w:tcPr>
            <w:tcW w:w="1560" w:type="dxa"/>
            <w:vAlign w:val="center"/>
          </w:tcPr>
          <w:p w:rsidR="00040FC2" w:rsidRPr="00D30C28" w:rsidRDefault="00040FC2" w:rsidP="005068F1">
            <w:pPr>
              <w:pStyle w:val="a3"/>
              <w:spacing w:line="276" w:lineRule="auto"/>
              <w:contextualSpacing/>
              <w:jc w:val="both"/>
              <w:rPr>
                <w:rFonts w:ascii="Times New Roman Tj" w:hAnsi="Times New Roman Tj" w:cs="Arial"/>
                <w:sz w:val="32"/>
                <w:szCs w:val="32"/>
                <w:shd w:val="clear" w:color="auto" w:fill="FFFFFF"/>
              </w:rPr>
            </w:pPr>
            <w:r w:rsidRPr="00D30C28">
              <w:rPr>
                <w:rFonts w:ascii="Times New Roman Tj" w:hAnsi="Times New Roman Tj" w:cs="Arial"/>
                <w:sz w:val="32"/>
                <w:szCs w:val="32"/>
                <w:shd w:val="clear" w:color="auto" w:fill="FFFFFF"/>
              </w:rPr>
              <w:t>112,0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040FC2" w:rsidRPr="00D30C28" w:rsidRDefault="00040FC2" w:rsidP="005068F1">
            <w:pPr>
              <w:pStyle w:val="a3"/>
              <w:spacing w:line="276" w:lineRule="auto"/>
              <w:contextualSpacing/>
              <w:jc w:val="both"/>
              <w:rPr>
                <w:rFonts w:ascii="Times New Roman Tj" w:hAnsi="Times New Roman Tj" w:cs="Arial"/>
                <w:sz w:val="32"/>
                <w:szCs w:val="32"/>
                <w:shd w:val="clear" w:color="auto" w:fill="FFFFFF"/>
              </w:rPr>
            </w:pPr>
            <w:r w:rsidRPr="00D30C28">
              <w:rPr>
                <w:rFonts w:ascii="Times New Roman Tj" w:hAnsi="Times New Roman Tj" w:cs="Arial"/>
                <w:sz w:val="32"/>
                <w:szCs w:val="32"/>
                <w:shd w:val="clear" w:color="auto" w:fill="FFFFFF"/>
              </w:rPr>
              <w:t>6082</w:t>
            </w:r>
          </w:p>
        </w:tc>
      </w:tr>
      <w:tr w:rsidR="00040FC2" w:rsidRPr="00D30C28" w:rsidTr="005068F1">
        <w:tc>
          <w:tcPr>
            <w:tcW w:w="2835" w:type="dxa"/>
          </w:tcPr>
          <w:p w:rsidR="00040FC2" w:rsidRPr="00D30C28" w:rsidRDefault="00040FC2" w:rsidP="005068F1">
            <w:pPr>
              <w:pStyle w:val="a3"/>
              <w:spacing w:line="276" w:lineRule="auto"/>
              <w:contextualSpacing/>
              <w:jc w:val="both"/>
              <w:rPr>
                <w:rFonts w:ascii="Times New Roman Tj" w:hAnsi="Times New Roman Tj" w:cs="Arial"/>
                <w:sz w:val="32"/>
                <w:szCs w:val="32"/>
                <w:shd w:val="clear" w:color="auto" w:fill="FFFFFF"/>
              </w:rPr>
            </w:pPr>
            <w:r w:rsidRPr="00D30C28">
              <w:rPr>
                <w:rFonts w:ascii="Times New Roman Tj" w:hAnsi="Times New Roman Tj" w:cs="Arial"/>
                <w:sz w:val="32"/>
                <w:szCs w:val="32"/>
                <w:shd w:val="clear" w:color="auto" w:fill="FFFFFF"/>
              </w:rPr>
              <w:t xml:space="preserve"> НТЉ</w:t>
            </w:r>
          </w:p>
        </w:tc>
        <w:tc>
          <w:tcPr>
            <w:tcW w:w="1701" w:type="dxa"/>
            <w:vAlign w:val="center"/>
          </w:tcPr>
          <w:p w:rsidR="00040FC2" w:rsidRPr="00D30C28" w:rsidRDefault="00040FC2" w:rsidP="005068F1">
            <w:pPr>
              <w:pStyle w:val="a3"/>
              <w:spacing w:line="276" w:lineRule="auto"/>
              <w:ind w:firstLine="34"/>
              <w:contextualSpacing/>
              <w:jc w:val="both"/>
              <w:rPr>
                <w:rFonts w:ascii="Times New Roman Tj" w:hAnsi="Times New Roman Tj" w:cs="Arial"/>
                <w:sz w:val="32"/>
                <w:szCs w:val="32"/>
                <w:shd w:val="clear" w:color="auto" w:fill="FFFFFF"/>
              </w:rPr>
            </w:pPr>
            <w:r w:rsidRPr="00D30C28">
              <w:rPr>
                <w:rFonts w:ascii="Times New Roman Tj" w:hAnsi="Times New Roman Tj"/>
                <w:sz w:val="32"/>
                <w:szCs w:val="32"/>
              </w:rPr>
              <w:t>6287</w:t>
            </w:r>
          </w:p>
        </w:tc>
        <w:tc>
          <w:tcPr>
            <w:tcW w:w="1701" w:type="dxa"/>
            <w:vAlign w:val="center"/>
          </w:tcPr>
          <w:p w:rsidR="00040FC2" w:rsidRPr="00D30C28" w:rsidRDefault="00040FC2" w:rsidP="005068F1">
            <w:pPr>
              <w:pStyle w:val="a3"/>
              <w:spacing w:line="276" w:lineRule="auto"/>
              <w:ind w:firstLine="34"/>
              <w:contextualSpacing/>
              <w:jc w:val="both"/>
              <w:rPr>
                <w:rFonts w:ascii="Times New Roman Tj" w:hAnsi="Times New Roman Tj" w:cs="Arial"/>
                <w:sz w:val="32"/>
                <w:szCs w:val="32"/>
                <w:shd w:val="clear" w:color="auto" w:fill="FFFFFF"/>
              </w:rPr>
            </w:pPr>
            <w:r w:rsidRPr="00D30C28">
              <w:rPr>
                <w:rFonts w:ascii="Times New Roman Tj" w:hAnsi="Times New Roman Tj" w:cs="Arial"/>
                <w:sz w:val="32"/>
                <w:szCs w:val="32"/>
                <w:shd w:val="clear" w:color="auto" w:fill="FFFFFF"/>
              </w:rPr>
              <w:t>3663</w:t>
            </w:r>
          </w:p>
        </w:tc>
        <w:tc>
          <w:tcPr>
            <w:tcW w:w="1560" w:type="dxa"/>
            <w:vAlign w:val="center"/>
          </w:tcPr>
          <w:p w:rsidR="00040FC2" w:rsidRPr="00D30C28" w:rsidRDefault="00040FC2" w:rsidP="005068F1">
            <w:pPr>
              <w:pStyle w:val="a3"/>
              <w:spacing w:line="276" w:lineRule="auto"/>
              <w:contextualSpacing/>
              <w:jc w:val="both"/>
              <w:rPr>
                <w:rFonts w:ascii="Times New Roman Tj" w:hAnsi="Times New Roman Tj" w:cs="Arial"/>
                <w:sz w:val="32"/>
                <w:szCs w:val="32"/>
                <w:shd w:val="clear" w:color="auto" w:fill="FFFFFF"/>
              </w:rPr>
            </w:pPr>
            <w:r w:rsidRPr="00D30C28">
              <w:rPr>
                <w:rFonts w:ascii="Times New Roman Tj" w:hAnsi="Times New Roman Tj" w:cs="Arial"/>
                <w:sz w:val="32"/>
                <w:szCs w:val="32"/>
                <w:shd w:val="clear" w:color="auto" w:fill="FFFFFF"/>
              </w:rPr>
              <w:t>1,7 м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040FC2" w:rsidRPr="00D30C28" w:rsidRDefault="00040FC2" w:rsidP="005068F1">
            <w:pPr>
              <w:pStyle w:val="a3"/>
              <w:spacing w:line="276" w:lineRule="auto"/>
              <w:contextualSpacing/>
              <w:jc w:val="both"/>
              <w:rPr>
                <w:rFonts w:ascii="Times New Roman Tj" w:hAnsi="Times New Roman Tj" w:cs="Arial"/>
                <w:sz w:val="32"/>
                <w:szCs w:val="32"/>
                <w:shd w:val="clear" w:color="auto" w:fill="FFFFFF"/>
              </w:rPr>
            </w:pPr>
            <w:r w:rsidRPr="00D30C28">
              <w:rPr>
                <w:rFonts w:ascii="Times New Roman Tj" w:hAnsi="Times New Roman Tj" w:cs="Arial"/>
                <w:sz w:val="32"/>
                <w:szCs w:val="32"/>
                <w:shd w:val="clear" w:color="auto" w:fill="FFFFFF"/>
              </w:rPr>
              <w:t>2624</w:t>
            </w:r>
          </w:p>
        </w:tc>
      </w:tr>
    </w:tbl>
    <w:p w:rsidR="00040FC2" w:rsidRDefault="00040FC2" w:rsidP="00040FC2">
      <w:pPr>
        <w:rPr>
          <w:rFonts w:ascii="Times New Roman Tj" w:hAnsi="Times New Roman Tj"/>
          <w:sz w:val="28"/>
          <w:szCs w:val="28"/>
        </w:rPr>
      </w:pPr>
      <w:bookmarkStart w:id="0" w:name="_GoBack"/>
      <w:bookmarkEnd w:id="0"/>
    </w:p>
    <w:p w:rsidR="00040FC2" w:rsidRPr="00D30C28" w:rsidRDefault="00040FC2" w:rsidP="00040FC2">
      <w:pPr>
        <w:rPr>
          <w:rFonts w:ascii="Times New Roman Tj" w:hAnsi="Times New Roman Tj"/>
          <w:sz w:val="28"/>
          <w:szCs w:val="28"/>
        </w:rPr>
      </w:pPr>
      <w:r w:rsidRPr="00D30C28">
        <w:rPr>
          <w:rFonts w:ascii="Times New Roman Tj" w:hAnsi="Times New Roman Tj"/>
          <w:sz w:val="28"/>
          <w:szCs w:val="28"/>
        </w:rPr>
        <w:t xml:space="preserve">В отчетный период было проведено с целью эффективного и рационального использования пахотных земель и получение двух или более от приобретения земли по запоздалой стране Сообщества после уборки урожая в области 54744.5 га повторного посева культур, что в целом по сравнению с аналогичным периодом предыдущего года составляет менее 1199 гектаров или 2,1%, а план составляет менее 29,2%. В том числе бобовые виды, включая кукурузу на Дон 25096 га в соответствующем периоде предыдущего года (27042.5 га), 1663 га (1328 га) посевов технических, 22,0 га (35,4 га) картофеля, овощей 4581.5 га ( 3822 га), 3094 гектара (2574 гектара) и 20288 гектаров сельскохозяйственных культур (21141 га). </w:t>
      </w:r>
    </w:p>
    <w:p w:rsidR="00040FC2" w:rsidRPr="00D30C28" w:rsidRDefault="00040FC2" w:rsidP="00040FC2">
      <w:pPr>
        <w:rPr>
          <w:rFonts w:ascii="Times New Roman Tj" w:hAnsi="Times New Roman Tj"/>
          <w:sz w:val="28"/>
          <w:szCs w:val="28"/>
        </w:rPr>
      </w:pPr>
      <w:r w:rsidRPr="00D30C28">
        <w:rPr>
          <w:rFonts w:ascii="Times New Roman Tj" w:hAnsi="Times New Roman Tj"/>
          <w:sz w:val="28"/>
          <w:szCs w:val="28"/>
        </w:rPr>
        <w:t xml:space="preserve">   Одним из способов увеличения экспортного потенциала страны является интеграция в новые сады и виноградники. В то же время будет построен в целях реализации решения правительства от 30 декабря 2015, №793 «По программе разработки месторождения и винограда в Республике Таджикистан на 2016-2020 годы», согласно статистическим данным по состоянию на 1 июня 2018 года в области 2416 га садов и виноградников , Общая площадь садов и виноградников составляет 2272 гектара, 142 гектара виноградников, 2090 гектаров построены в укропных павильонах.</w:t>
      </w:r>
    </w:p>
    <w:p w:rsidR="00040FC2" w:rsidRPr="00D30C28" w:rsidRDefault="00040FC2" w:rsidP="00040FC2">
      <w:pPr>
        <w:rPr>
          <w:rFonts w:ascii="Times New Roman Tj" w:hAnsi="Times New Roman Tj"/>
          <w:sz w:val="28"/>
          <w:szCs w:val="28"/>
        </w:rPr>
      </w:pPr>
      <w:r w:rsidRPr="00D30C28">
        <w:rPr>
          <w:rFonts w:ascii="Times New Roman Tj" w:hAnsi="Times New Roman Tj"/>
          <w:sz w:val="28"/>
          <w:szCs w:val="28"/>
        </w:rPr>
        <w:t xml:space="preserve">     Согласно статистическим данным, по состоянию на 1 июля 2018 года, 2310.4 тысяч голов крупного рогатого скота, в том числе 1193.8 </w:t>
      </w:r>
      <w:proofErr w:type="spellStart"/>
      <w:r w:rsidRPr="00D30C28">
        <w:rPr>
          <w:rFonts w:ascii="Times New Roman Tj" w:hAnsi="Times New Roman Tj"/>
          <w:sz w:val="28"/>
          <w:szCs w:val="28"/>
        </w:rPr>
        <w:t>тыс</w:t>
      </w:r>
      <w:proofErr w:type="spellEnd"/>
      <w:r w:rsidRPr="00D30C28">
        <w:rPr>
          <w:rFonts w:ascii="Times New Roman Tj" w:hAnsi="Times New Roman Tj"/>
          <w:sz w:val="28"/>
          <w:szCs w:val="28"/>
        </w:rPr>
        <w:t xml:space="preserve"> коров, 5731.9 </w:t>
      </w:r>
      <w:proofErr w:type="spellStart"/>
      <w:r w:rsidRPr="00D30C28">
        <w:rPr>
          <w:rFonts w:ascii="Times New Roman Tj" w:hAnsi="Times New Roman Tj"/>
          <w:sz w:val="28"/>
          <w:szCs w:val="28"/>
        </w:rPr>
        <w:t>тыс</w:t>
      </w:r>
      <w:proofErr w:type="spellEnd"/>
      <w:r w:rsidRPr="00D30C28">
        <w:rPr>
          <w:rFonts w:ascii="Times New Roman Tj" w:hAnsi="Times New Roman Tj"/>
          <w:sz w:val="28"/>
          <w:szCs w:val="28"/>
        </w:rPr>
        <w:t xml:space="preserve"> овец и коз, 6031,9 тысячи и 92,7 тысячи птиц выращивают лошадей это происходит.</w:t>
      </w:r>
    </w:p>
    <w:p w:rsidR="00040FC2" w:rsidRPr="00D30C28" w:rsidRDefault="00040FC2" w:rsidP="00040FC2">
      <w:pPr>
        <w:rPr>
          <w:rFonts w:ascii="Times New Roman Tj" w:hAnsi="Times New Roman Tj"/>
          <w:sz w:val="28"/>
          <w:szCs w:val="28"/>
        </w:rPr>
      </w:pPr>
      <w:r w:rsidRPr="00D30C28">
        <w:rPr>
          <w:rFonts w:ascii="Times New Roman Tj" w:hAnsi="Times New Roman Tj"/>
          <w:sz w:val="28"/>
          <w:szCs w:val="28"/>
        </w:rPr>
        <w:t xml:space="preserve">   За этот период производство продукции животноводства, включая мясо, 70,3 тыс. Тонн, молока 354,2 тыс. Тонн, порошка 767,2 тонны и шерсти 4552,7 тонны, по сравнению с аналогичным периодом прошлого </w:t>
      </w:r>
      <w:r w:rsidRPr="00D30C28">
        <w:rPr>
          <w:rFonts w:ascii="Times New Roman Tj" w:hAnsi="Times New Roman Tj"/>
          <w:sz w:val="28"/>
          <w:szCs w:val="28"/>
        </w:rPr>
        <w:lastRenderedPageBreak/>
        <w:t>года, производство мяса 3,4 интерес, молоко увеличилось на 2,2%, а шерсть увеличилась на 2,2%.</w:t>
      </w:r>
    </w:p>
    <w:p w:rsidR="00040FC2" w:rsidRPr="00D30C28" w:rsidRDefault="00040FC2" w:rsidP="00040FC2">
      <w:pPr>
        <w:rPr>
          <w:rFonts w:ascii="Times New Roman Tj" w:hAnsi="Times New Roman Tj"/>
          <w:sz w:val="28"/>
          <w:szCs w:val="28"/>
        </w:rPr>
      </w:pPr>
      <w:r w:rsidRPr="00D30C28">
        <w:rPr>
          <w:rFonts w:ascii="Times New Roman Tj" w:hAnsi="Times New Roman Tj"/>
          <w:sz w:val="28"/>
          <w:szCs w:val="28"/>
        </w:rPr>
        <w:t xml:space="preserve">     Производство яиц за отчетный период достигло 167,1 млн. Обломки были серыми, что увеличилось на 24% по сравнению с аналогичным периодом прошлого года.</w:t>
      </w:r>
    </w:p>
    <w:p w:rsidR="00040FC2" w:rsidRPr="00D30C28" w:rsidRDefault="00040FC2" w:rsidP="00040FC2">
      <w:pPr>
        <w:rPr>
          <w:rFonts w:ascii="Times New Roman Tj" w:hAnsi="Times New Roman Tj"/>
          <w:sz w:val="28"/>
          <w:szCs w:val="28"/>
        </w:rPr>
      </w:pPr>
      <w:r w:rsidRPr="00D30C28">
        <w:rPr>
          <w:rFonts w:ascii="Times New Roman Tj" w:hAnsi="Times New Roman Tj"/>
          <w:sz w:val="28"/>
          <w:szCs w:val="28"/>
        </w:rPr>
        <w:t xml:space="preserve">    По статистическим данным 1 июля 2018 года производство рыбы увеличилось до 404,5 тонн, что на 2,4% больше, чем за аналогичный период прошлого года.</w:t>
      </w:r>
    </w:p>
    <w:p w:rsidR="00040FC2" w:rsidRPr="00D30C28" w:rsidRDefault="00040FC2" w:rsidP="00040FC2">
      <w:pPr>
        <w:tabs>
          <w:tab w:val="left" w:pos="-284"/>
        </w:tabs>
        <w:jc w:val="both"/>
        <w:rPr>
          <w:rFonts w:ascii="Times New Roman Tj" w:hAnsi="Times New Roman Tj"/>
          <w:sz w:val="32"/>
          <w:szCs w:val="32"/>
        </w:rPr>
      </w:pPr>
    </w:p>
    <w:p w:rsidR="005679D1" w:rsidRDefault="005679D1"/>
    <w:sectPr w:rsidR="005679D1" w:rsidSect="0040787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Tj">
    <w:panose1 w:val="0202050305040509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characterSpacingControl w:val="doNotCompress"/>
  <w:compat>
    <w:useFELayout/>
  </w:compat>
  <w:rsids>
    <w:rsidRoot w:val="00040FC2"/>
    <w:rsid w:val="00040FC2"/>
    <w:rsid w:val="00567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ной,Основной"/>
    <w:link w:val="a4"/>
    <w:qFormat/>
    <w:rsid w:val="00040FC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aliases w:val="основной Знак,Основной Знак"/>
    <w:link w:val="a3"/>
    <w:locked/>
    <w:rsid w:val="00040FC2"/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40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0F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0160427377901377"/>
          <c:y val="4.0029662021035424E-2"/>
          <c:w val="0.80926746621649082"/>
          <c:h val="0.7241597075465479"/>
        </c:manualLayout>
      </c:layout>
      <c:barChart>
        <c:barDir val="col"/>
        <c:grouping val="clustered"/>
        <c:ser>
          <c:idx val="2"/>
          <c:order val="2"/>
          <c:tx>
            <c:strRef>
              <c:f>Лист1!$B$1</c:f>
              <c:strCache>
                <c:ptCount val="1"/>
                <c:pt idx="0">
                  <c:v>Объём производства промышленной продукции (млн.сом)</c:v>
                </c:pt>
              </c:strCache>
            </c:strRef>
          </c:tx>
          <c:spPr>
            <a:solidFill>
              <a:schemeClr val="accent3"/>
            </a:solidFill>
            <a:ln w="12924" cap="flat" cmpd="sng" algn="ctr">
              <a:solidFill>
                <a:schemeClr val="accent3">
                  <a:shade val="50000"/>
                </a:schemeClr>
              </a:solidFill>
              <a:prstDash val="solid"/>
            </a:ln>
            <a:effectLst/>
          </c:spPr>
          <c:cat>
            <c:numRef>
              <c:f>Лист1!$A$2:$A$6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4554.6000000000004</c:v>
                </c:pt>
                <c:pt idx="1">
                  <c:v>5415.4</c:v>
                </c:pt>
                <c:pt idx="2">
                  <c:v>6363.2</c:v>
                </c:pt>
                <c:pt idx="3">
                  <c:v>8552.4</c:v>
                </c:pt>
                <c:pt idx="4">
                  <c:v>10413.9</c:v>
                </c:pt>
              </c:numCache>
            </c:numRef>
          </c:val>
        </c:ser>
        <c:ser>
          <c:idx val="3"/>
          <c:order val="3"/>
          <c:tx>
            <c:strRef>
              <c:f>Лист1!$C$1</c:f>
              <c:strCache>
                <c:ptCount val="1"/>
                <c:pt idx="0">
                  <c:v>Рушди он (бо фоиз) </c:v>
                </c:pt>
              </c:strCache>
            </c:strRef>
          </c:tx>
          <c:spPr>
            <a:ln w="32211">
              <a:solidFill>
                <a:srgbClr val="0070C0"/>
              </a:solidFill>
            </a:ln>
          </c:spPr>
          <c:cat>
            <c:numRef>
              <c:f>Лист1!$A$2:$A$6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2.9</c:v>
                </c:pt>
                <c:pt idx="1">
                  <c:v>14.2</c:v>
                </c:pt>
                <c:pt idx="2">
                  <c:v>12.1</c:v>
                </c:pt>
                <c:pt idx="3">
                  <c:v>21.3</c:v>
                </c:pt>
                <c:pt idx="4">
                  <c:v>16.899999999999999</c:v>
                </c:pt>
              </c:numCache>
            </c:numRef>
          </c:val>
        </c:ser>
        <c:ser>
          <c:idx val="0"/>
          <c:order val="0"/>
          <c:tx>
            <c:strRef>
              <c:f>Лист1!$B$1</c:f>
              <c:strCache>
                <c:ptCount val="1"/>
                <c:pt idx="0">
                  <c:v>Объём производства промышленной продукции (млн.сом)</c:v>
                </c:pt>
              </c:strCache>
            </c:strRef>
          </c:tx>
          <c:spPr>
            <a:solidFill>
              <a:schemeClr val="accent3"/>
            </a:solidFill>
            <a:ln w="12924" cap="flat" cmpd="sng" algn="ctr">
              <a:solidFill>
                <a:schemeClr val="accent3">
                  <a:shade val="50000"/>
                </a:schemeClr>
              </a:solidFill>
              <a:prstDash val="solid"/>
            </a:ln>
            <a:effectLst/>
          </c:spPr>
          <c:dLbls>
            <c:dLbl>
              <c:idx val="0"/>
              <c:layout>
                <c:manualLayout>
                  <c:x val="-4.3959073133185414E-3"/>
                  <c:y val="-1.053427344819914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1.949783716310742E-4"/>
                  <c:y val="-1.0637066201057591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5.9154532925811305E-3"/>
                  <c:y val="2.6351012364345412E-3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1.4406627865571869E-3"/>
                  <c:y val="5.0264395658429824E-3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5.7626511462287484E-3"/>
                  <c:y val="7.9824179574091922E-3"/>
                </c:manualLayout>
              </c:layout>
              <c:dLblPos val="outEnd"/>
              <c:showVal val="1"/>
            </c:dLbl>
            <c:spPr>
              <a:noFill/>
            </c:spPr>
            <c:txPr>
              <a:bodyPr/>
              <a:lstStyle/>
              <a:p>
                <a:pPr>
                  <a:defRPr lang="en-US" sz="713" b="1">
                    <a:latin typeface="Times New Roman Tj" pitchFamily="18" charset="-52"/>
                  </a:defRPr>
                </a:pPr>
                <a:endParaRPr lang="ru-RU"/>
              </a:p>
            </c:txPr>
            <c:showVal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4554.6000000000004</c:v>
                </c:pt>
                <c:pt idx="1">
                  <c:v>5415.4</c:v>
                </c:pt>
                <c:pt idx="2">
                  <c:v>6363.2</c:v>
                </c:pt>
                <c:pt idx="3">
                  <c:v>8552.4</c:v>
                </c:pt>
                <c:pt idx="4">
                  <c:v>10413.9</c:v>
                </c:pt>
              </c:numCache>
            </c:numRef>
          </c:val>
        </c:ser>
        <c:gapWidth val="94"/>
        <c:axId val="134423680"/>
        <c:axId val="134425216"/>
      </c:barChart>
      <c:lineChart>
        <c:grouping val="stacked"/>
        <c:ser>
          <c:idx val="1"/>
          <c:order val="1"/>
          <c:tx>
            <c:strRef>
              <c:f>Лист1!$C$1</c:f>
              <c:strCache>
                <c:ptCount val="1"/>
                <c:pt idx="0">
                  <c:v>Рушди он (бо фоиз) </c:v>
                </c:pt>
              </c:strCache>
            </c:strRef>
          </c:tx>
          <c:spPr>
            <a:ln w="32211">
              <a:solidFill>
                <a:srgbClr val="0070C0"/>
              </a:solidFill>
            </a:ln>
          </c:spPr>
          <c:marker>
            <c:symbol val="square"/>
            <c:size val="2"/>
            <c:spPr>
              <a:solidFill>
                <a:schemeClr val="accent2">
                  <a:lumMod val="60000"/>
                  <a:lumOff val="40000"/>
                </a:schemeClr>
              </a:solidFill>
              <a:ln cmpd="sng">
                <a:solidFill>
                  <a:srgbClr val="0070C0"/>
                </a:solidFill>
              </a:ln>
            </c:spPr>
          </c:marker>
          <c:dPt>
            <c:idx val="1"/>
            <c:marker>
              <c:spPr>
                <a:gradFill rotWithShape="1">
                  <a:gsLst>
                    <a:gs pos="0">
                      <a:schemeClr val="accent3">
                        <a:shade val="45000"/>
                        <a:satMod val="155000"/>
                      </a:schemeClr>
                    </a:gs>
                    <a:gs pos="60000">
                      <a:schemeClr val="accent3">
                        <a:shade val="95000"/>
                        <a:satMod val="150000"/>
                      </a:schemeClr>
                    </a:gs>
                    <a:gs pos="100000">
                      <a:schemeClr val="accent3">
                        <a:tint val="87000"/>
                        <a:satMod val="250000"/>
                      </a:schemeClr>
                    </a:gs>
                  </a:gsLst>
                  <a:lin ang="16200000" scaled="0"/>
                </a:gradFill>
                <a:ln>
                  <a:solidFill>
                    <a:srgbClr val="0070C0"/>
                  </a:solidFill>
                </a:ln>
                <a:effectLst>
                  <a:outerShdw blurRad="65500" dist="38100" dir="5400000" rotWithShape="0">
                    <a:srgbClr val="000000">
                      <a:alpha val="40000"/>
                    </a:srgbClr>
                  </a:outerShdw>
                </a:effectLst>
                <a:scene3d>
                  <a:camera prst="orthographicFront" fov="0">
                    <a:rot lat="0" lon="0" rev="0"/>
                  </a:camera>
                  <a:lightRig rig="contrasting" dir="t">
                    <a:rot lat="0" lon="0" rev="12000000"/>
                  </a:lightRig>
                </a:scene3d>
                <a:sp3d prstMaterial="powder">
                  <a:bevelT h="50800"/>
                </a:sp3d>
              </c:spPr>
            </c:marker>
            <c:spPr>
              <a:ln w="32211">
                <a:solidFill>
                  <a:srgbClr val="0070C0"/>
                </a:solidFill>
              </a:ln>
              <a:effectLst>
                <a:outerShdw blurRad="65500" dist="38100" dir="5400000" rotWithShape="0">
                  <a:srgbClr val="000000">
                    <a:alpha val="40000"/>
                  </a:srgbClr>
                </a:outerShdw>
              </a:effectLst>
            </c:spPr>
          </c:dPt>
          <c:dPt>
            <c:idx val="2"/>
            <c:marker>
              <c:spPr>
                <a:gradFill rotWithShape="1">
                  <a:gsLst>
                    <a:gs pos="0">
                      <a:schemeClr val="accent3">
                        <a:shade val="45000"/>
                        <a:satMod val="155000"/>
                      </a:schemeClr>
                    </a:gs>
                    <a:gs pos="60000">
                      <a:schemeClr val="accent3">
                        <a:shade val="95000"/>
                        <a:satMod val="150000"/>
                      </a:schemeClr>
                    </a:gs>
                    <a:gs pos="100000">
                      <a:schemeClr val="accent3">
                        <a:tint val="87000"/>
                        <a:satMod val="250000"/>
                      </a:schemeClr>
                    </a:gs>
                  </a:gsLst>
                  <a:lin ang="16200000" scaled="0"/>
                </a:gradFill>
                <a:ln>
                  <a:solidFill>
                    <a:srgbClr val="0070C0"/>
                  </a:solidFill>
                </a:ln>
                <a:effectLst>
                  <a:outerShdw blurRad="65500" dist="38100" dir="5400000" rotWithShape="0">
                    <a:srgbClr val="000000">
                      <a:alpha val="40000"/>
                    </a:srgbClr>
                  </a:outerShdw>
                </a:effectLst>
                <a:scene3d>
                  <a:camera prst="orthographicFront" fov="0">
                    <a:rot lat="0" lon="0" rev="0"/>
                  </a:camera>
                  <a:lightRig rig="contrasting" dir="t">
                    <a:rot lat="0" lon="0" rev="12000000"/>
                  </a:lightRig>
                </a:scene3d>
                <a:sp3d prstMaterial="powder">
                  <a:bevelT h="50800"/>
                </a:sp3d>
              </c:spPr>
            </c:marker>
            <c:spPr>
              <a:ln w="32211">
                <a:solidFill>
                  <a:srgbClr val="0070C0"/>
                </a:solidFill>
              </a:ln>
              <a:effectLst>
                <a:outerShdw blurRad="65500" dist="38100" dir="5400000" rotWithShape="0">
                  <a:srgbClr val="000000">
                    <a:alpha val="40000"/>
                  </a:srgbClr>
                </a:outerShdw>
              </a:effectLst>
            </c:spPr>
          </c:dPt>
          <c:dLbls>
            <c:dLbl>
              <c:idx val="0"/>
              <c:layout>
                <c:manualLayout>
                  <c:x val="-3.7334972727702018E-2"/>
                  <c:y val="-1.7728143104824439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2.3563911601385192E-2"/>
                  <c:y val="1.4229067669435601E-3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3.1272365013583887E-2"/>
                  <c:y val="8.0793160105812961E-4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2.4350604233257127E-2"/>
                  <c:y val="-1.1887056838349201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6.3363071865138211E-3"/>
                  <c:y val="2.9880538303111892E-3"/>
                </c:manualLayout>
              </c:layout>
              <c:dLblPos val="r"/>
              <c:showVal val="1"/>
            </c:dLbl>
            <c:spPr>
              <a:solidFill>
                <a:schemeClr val="bg1"/>
              </a:solidFill>
              <a:ln>
                <a:noFill/>
              </a:ln>
              <a:effectLst>
                <a:outerShdw blurRad="65500" dist="38100" dir="5400000" rotWithShape="0">
                  <a:srgbClr val="000000">
                    <a:alpha val="40000"/>
                  </a:srgbClr>
                </a:outerShdw>
              </a:effectLst>
              <a:scene3d>
                <a:camera prst="orthographicFront" fov="0">
                  <a:rot lat="0" lon="0" rev="0"/>
                </a:camera>
                <a:lightRig rig="contrasting" dir="t">
                  <a:rot lat="0" lon="0" rev="12000000"/>
                </a:lightRig>
              </a:scene3d>
              <a:sp3d prstMaterial="powder">
                <a:bevelT h="50800"/>
              </a:sp3d>
            </c:spPr>
            <c:txPr>
              <a:bodyPr/>
              <a:lstStyle/>
              <a:p>
                <a:pPr>
                  <a:defRPr lang="en-US" sz="713" b="1">
                    <a:solidFill>
                      <a:schemeClr val="tx1"/>
                    </a:solidFill>
                    <a:latin typeface="Times New Roman Tj" pitchFamily="18" charset="-52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2.9</c:v>
                </c:pt>
                <c:pt idx="1">
                  <c:v>14.2</c:v>
                </c:pt>
                <c:pt idx="2">
                  <c:v>12.1</c:v>
                </c:pt>
                <c:pt idx="3">
                  <c:v>21.3</c:v>
                </c:pt>
                <c:pt idx="4">
                  <c:v>16.899999999999999</c:v>
                </c:pt>
              </c:numCache>
            </c:numRef>
          </c:val>
        </c:ser>
        <c:marker val="1"/>
        <c:axId val="134453888"/>
        <c:axId val="133730688"/>
      </c:lineChart>
      <c:catAx>
        <c:axId val="134423680"/>
        <c:scaling>
          <c:orientation val="minMax"/>
        </c:scaling>
        <c:axPos val="b"/>
        <c:numFmt formatCode="General" sourceLinked="1"/>
        <c:tickLblPos val="low"/>
        <c:txPr>
          <a:bodyPr/>
          <a:lstStyle/>
          <a:p>
            <a:pPr>
              <a:defRPr lang="en-US" sz="815" b="1">
                <a:solidFill>
                  <a:schemeClr val="tx1"/>
                </a:solidFill>
                <a:latin typeface="Times New Roman Tj" pitchFamily="18" charset="-52"/>
              </a:defRPr>
            </a:pPr>
            <a:endParaRPr lang="ru-RU"/>
          </a:p>
        </c:txPr>
        <c:crossAx val="134425216"/>
        <c:crosses val="autoZero"/>
        <c:auto val="1"/>
        <c:lblAlgn val="ctr"/>
        <c:lblOffset val="100"/>
      </c:catAx>
      <c:valAx>
        <c:axId val="134425216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lang="en-US" sz="713" b="1">
                <a:latin typeface="Times New Roman Tj" pitchFamily="18" charset="-52"/>
              </a:defRPr>
            </a:pPr>
            <a:endParaRPr lang="ru-RU"/>
          </a:p>
        </c:txPr>
        <c:crossAx val="134423680"/>
        <c:crosses val="autoZero"/>
        <c:crossBetween val="between"/>
      </c:valAx>
      <c:catAx>
        <c:axId val="134453888"/>
        <c:scaling>
          <c:orientation val="minMax"/>
        </c:scaling>
        <c:delete val="1"/>
        <c:axPos val="b"/>
        <c:numFmt formatCode="General" sourceLinked="1"/>
        <c:tickLblPos val="nextTo"/>
        <c:crossAx val="133730688"/>
        <c:crosses val="autoZero"/>
        <c:auto val="1"/>
        <c:lblAlgn val="ctr"/>
        <c:lblOffset val="100"/>
      </c:catAx>
      <c:valAx>
        <c:axId val="133730688"/>
        <c:scaling>
          <c:orientation val="minMax"/>
        </c:scaling>
        <c:axPos val="r"/>
        <c:numFmt formatCode="General" sourceLinked="1"/>
        <c:tickLblPos val="nextTo"/>
        <c:txPr>
          <a:bodyPr/>
          <a:lstStyle/>
          <a:p>
            <a:pPr>
              <a:defRPr lang="en-US" sz="713" b="1">
                <a:latin typeface="Times New Roman Tj" pitchFamily="18" charset="-52"/>
              </a:defRPr>
            </a:pPr>
            <a:endParaRPr lang="ru-RU"/>
          </a:p>
        </c:txPr>
        <c:crossAx val="134453888"/>
        <c:crosses val="max"/>
        <c:crossBetween val="between"/>
      </c:valAx>
      <c:spPr>
        <a:noFill/>
        <a:ln w="4811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plotArea>
    <c:legend>
      <c:legendPos val="b"/>
      <c:layout>
        <c:manualLayout>
          <c:xMode val="edge"/>
          <c:yMode val="edge"/>
          <c:x val="5.4788149868709966E-2"/>
          <c:y val="0.87949911939859027"/>
          <c:w val="0.89999991911389088"/>
          <c:h val="5.5969749544018822E-2"/>
        </c:manualLayout>
      </c:layout>
      <c:txPr>
        <a:bodyPr/>
        <a:lstStyle/>
        <a:p>
          <a:pPr>
            <a:defRPr lang="en-US" sz="815" b="1">
              <a:solidFill>
                <a:schemeClr val="tx1"/>
              </a:solidFill>
              <a:latin typeface="Times New Roman Tj" pitchFamily="18" charset="-52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spPr>
    <a:noFill/>
  </c:spPr>
  <c:txPr>
    <a:bodyPr/>
    <a:lstStyle/>
    <a:p>
      <a:pPr>
        <a:defRPr sz="912"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4"/>
  <c:chart>
    <c:plotArea>
      <c:layout>
        <c:manualLayout>
          <c:layoutTarget val="inner"/>
          <c:xMode val="edge"/>
          <c:yMode val="edge"/>
          <c:x val="0.10413223140495872"/>
          <c:y val="8.2802547770700632E-2"/>
          <c:w val="0.81487603305785161"/>
          <c:h val="0.59235668789808849"/>
        </c:manualLayout>
      </c:layout>
      <c:barChart>
        <c:barDir val="col"/>
        <c:grouping val="clustered"/>
        <c:ser>
          <c:idx val="1"/>
          <c:order val="1"/>
          <c:tx>
            <c:strRef>
              <c:f>Лист1!$C$1</c:f>
              <c:strCache>
                <c:ptCount val="1"/>
                <c:pt idx="0">
                  <c:v>добыча полезных ископаемых</c:v>
                </c:pt>
              </c:strCache>
            </c:strRef>
          </c:tx>
          <c:spPr>
            <a:solidFill>
              <a:srgbClr val="9999FF"/>
            </a:solidFill>
            <a:effectLst/>
          </c:spPr>
          <c:dLbls>
            <c:dLbl>
              <c:idx val="1"/>
              <c:layout>
                <c:manualLayout>
                  <c:x val="-1.694169328889444E-2"/>
                  <c:y val="0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-1.8481847224248487E-2"/>
                  <c:y val="8.1395351321350267E-3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-1.0781077547478346E-2"/>
                  <c:y val="0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lang="en-US"/>
                </a:pPr>
                <a:endParaRPr lang="ru-RU"/>
              </a:p>
            </c:txPr>
            <c:showVal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Лист1!$C$2:$C$6</c:f>
              <c:numCache>
                <c:formatCode>0.0</c:formatCode>
                <c:ptCount val="5"/>
                <c:pt idx="0">
                  <c:v>10.9</c:v>
                </c:pt>
                <c:pt idx="1">
                  <c:v>16.3</c:v>
                </c:pt>
                <c:pt idx="2" formatCode="General">
                  <c:v>150</c:v>
                </c:pt>
                <c:pt idx="3" formatCode="General">
                  <c:v>26.3</c:v>
                </c:pt>
                <c:pt idx="4" formatCode="General">
                  <c:v>19.7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перерабатывающая промышленность</c:v>
                </c:pt>
              </c:strCache>
            </c:strRef>
          </c:tx>
          <c:spPr>
            <a:solidFill>
              <a:srgbClr val="C00000"/>
            </a:solidFill>
            <a:ln>
              <a:solidFill>
                <a:srgbClr val="C00000"/>
              </a:solidFill>
            </a:ln>
            <a:effectLst/>
          </c:spPr>
          <c:dLbls>
            <c:dLbl>
              <c:idx val="4"/>
              <c:layout>
                <c:manualLayout>
                  <c:x val="6.1606157414162708E-3"/>
                  <c:y val="-1.3565891886891657E-2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lang="en-US"/>
                </a:pPr>
                <a:endParaRPr lang="ru-RU"/>
              </a:p>
            </c:txPr>
            <c:showVal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0.70000000000000062</c:v>
                </c:pt>
                <c:pt idx="1">
                  <c:v>12.8</c:v>
                </c:pt>
                <c:pt idx="2">
                  <c:v>8.1</c:v>
                </c:pt>
                <c:pt idx="3">
                  <c:v>20.9</c:v>
                </c:pt>
                <c:pt idx="4">
                  <c:v>22.2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производство и распределение электроэнергии, газа и воды</c:v>
                </c:pt>
              </c:strCache>
            </c:strRef>
          </c:tx>
          <c:spPr>
            <a:solidFill>
              <a:srgbClr val="00FFCC"/>
            </a:solidFill>
            <a:ln w="37077">
              <a:noFill/>
              <a:prstDash val="solid"/>
            </a:ln>
          </c:spPr>
          <c:dLbls>
            <c:dLbl>
              <c:idx val="1"/>
              <c:layout>
                <c:manualLayout>
                  <c:x val="1.8481847224248487E-2"/>
                  <c:y val="-2.7131783773783466E-3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1.3861385418186451E-2"/>
                  <c:y val="0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lang="en-US"/>
                </a:pPr>
                <a:endParaRPr lang="ru-RU"/>
              </a:p>
            </c:txPr>
            <c:showVal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4.3</c:v>
                </c:pt>
                <c:pt idx="1">
                  <c:v>14.7</c:v>
                </c:pt>
                <c:pt idx="2">
                  <c:v>3.4</c:v>
                </c:pt>
                <c:pt idx="3">
                  <c:v>16.2</c:v>
                </c:pt>
                <c:pt idx="4" formatCode="0.0">
                  <c:v>4</c:v>
                </c:pt>
              </c:numCache>
            </c:numRef>
          </c:val>
        </c:ser>
        <c:axId val="133727360"/>
        <c:axId val="133728896"/>
      </c:barChar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промышленность </c:v>
                </c:pt>
              </c:strCache>
            </c:strRef>
          </c:tx>
          <c:spPr>
            <a:effectLst/>
          </c:spPr>
          <c:marker>
            <c:symbol val="none"/>
          </c:marker>
          <c:dPt>
            <c:idx val="1"/>
            <c:spPr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</c:dPt>
          <c:dLbls>
            <c:dLbl>
              <c:idx val="0"/>
              <c:layout>
                <c:manualLayout>
                  <c:x val="-5.0308320878816926E-2"/>
                  <c:y val="-4.0161011470053062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2.4076464552547569E-2"/>
                  <c:y val="-5.5731758465132876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3.8479476694300817E-2"/>
                  <c:y val="-3.8596586051094547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3.3337848666291851E-2"/>
                  <c:y val="-3.9815721283532175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1.0168876557616821E-2"/>
                  <c:y val="-2.5730994152046788E-2"/>
                </c:manualLayout>
              </c:layout>
              <c:dLblPos val="r"/>
              <c:showVal val="1"/>
            </c:dLbl>
            <c:txPr>
              <a:bodyPr/>
              <a:lstStyle/>
              <a:p>
                <a:pPr>
                  <a:defRPr lang="en-US"/>
                </a:pPr>
                <a:endParaRPr lang="ru-RU"/>
              </a:p>
            </c:txPr>
            <c:showVal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2.9</c:v>
                </c:pt>
                <c:pt idx="1">
                  <c:v>14.2</c:v>
                </c:pt>
                <c:pt idx="2">
                  <c:v>12.1</c:v>
                </c:pt>
                <c:pt idx="3">
                  <c:v>21.3</c:v>
                </c:pt>
                <c:pt idx="4">
                  <c:v>16.899999999999999</c:v>
                </c:pt>
              </c:numCache>
            </c:numRef>
          </c:val>
        </c:ser>
        <c:marker val="1"/>
        <c:axId val="133992832"/>
        <c:axId val="133994368"/>
      </c:lineChart>
      <c:catAx>
        <c:axId val="133727360"/>
        <c:scaling>
          <c:orientation val="minMax"/>
        </c:scaling>
        <c:axPos val="b"/>
        <c:numFmt formatCode="General" sourceLinked="1"/>
        <c:majorTickMark val="none"/>
        <c:tickLblPos val="low"/>
        <c:txPr>
          <a:bodyPr/>
          <a:lstStyle/>
          <a:p>
            <a:pPr>
              <a:defRPr lang="en-US" sz="1039">
                <a:solidFill>
                  <a:schemeClr val="tx1"/>
                </a:solidFill>
              </a:defRPr>
            </a:pPr>
            <a:endParaRPr lang="ru-RU"/>
          </a:p>
        </c:txPr>
        <c:crossAx val="133728896"/>
        <c:crosses val="autoZero"/>
        <c:auto val="1"/>
        <c:lblAlgn val="ctr"/>
        <c:lblOffset val="100"/>
      </c:catAx>
      <c:valAx>
        <c:axId val="133728896"/>
        <c:scaling>
          <c:orientation val="minMax"/>
        </c:scaling>
        <c:axPos val="l"/>
        <c:numFmt formatCode="0.0" sourceLinked="1"/>
        <c:majorTickMark val="none"/>
        <c:tickLblPos val="nextTo"/>
        <c:txPr>
          <a:bodyPr/>
          <a:lstStyle/>
          <a:p>
            <a:pPr>
              <a:defRPr lang="en-US" sz="909"/>
            </a:pPr>
            <a:endParaRPr lang="ru-RU"/>
          </a:p>
        </c:txPr>
        <c:crossAx val="133727360"/>
        <c:crosses val="autoZero"/>
        <c:crossBetween val="between"/>
        <c:majorUnit val="50"/>
      </c:valAx>
      <c:catAx>
        <c:axId val="133992832"/>
        <c:scaling>
          <c:orientation val="minMax"/>
        </c:scaling>
        <c:delete val="1"/>
        <c:axPos val="b"/>
        <c:numFmt formatCode="General" sourceLinked="1"/>
        <c:tickLblPos val="nextTo"/>
        <c:crossAx val="133994368"/>
        <c:crosses val="autoZero"/>
        <c:auto val="1"/>
        <c:lblAlgn val="ctr"/>
        <c:lblOffset val="100"/>
      </c:catAx>
      <c:valAx>
        <c:axId val="133994368"/>
        <c:scaling>
          <c:orientation val="minMax"/>
          <c:min val="-2"/>
        </c:scaling>
        <c:axPos val="r"/>
        <c:numFmt formatCode="General" sourceLinked="1"/>
        <c:tickLblPos val="nextTo"/>
        <c:txPr>
          <a:bodyPr/>
          <a:lstStyle/>
          <a:p>
            <a:pPr>
              <a:defRPr lang="en-US"/>
            </a:pPr>
            <a:endParaRPr lang="ru-RU"/>
          </a:p>
        </c:txPr>
        <c:crossAx val="133992832"/>
        <c:crosses val="max"/>
        <c:crossBetween val="between"/>
      </c:valAx>
      <c:spPr>
        <a:noFill/>
        <a:ln w="16487">
          <a:noFill/>
        </a:ln>
      </c:spPr>
    </c:plotArea>
    <c:legend>
      <c:legendPos val="b"/>
      <c:layout>
        <c:manualLayout>
          <c:xMode val="edge"/>
          <c:yMode val="edge"/>
          <c:x val="1.2504525708264103E-2"/>
          <c:y val="0.76680384573585469"/>
          <c:w val="0.98674932382059144"/>
          <c:h val="0.20417584212624373"/>
        </c:manualLayout>
      </c:layout>
      <c:txPr>
        <a:bodyPr/>
        <a:lstStyle/>
        <a:p>
          <a:pPr>
            <a:defRPr lang="en-US" sz="1039"/>
          </a:pPr>
          <a:endParaRPr lang="ru-RU"/>
        </a:p>
      </c:txPr>
    </c:legend>
    <c:plotVisOnly val="1"/>
    <c:dispBlanksAs val="zero"/>
  </c:chart>
  <c:spPr>
    <a:noFill/>
    <a:ln>
      <a:solidFill>
        <a:schemeClr val="accent1"/>
      </a:solidFill>
    </a:ln>
  </c:spPr>
  <c:txPr>
    <a:bodyPr/>
    <a:lstStyle/>
    <a:p>
      <a:pPr>
        <a:defRPr sz="1039" b="1">
          <a:solidFill>
            <a:schemeClr val="dk1"/>
          </a:solidFill>
          <a:latin typeface="Times New Roman Tj" pitchFamily="18" charset="-52"/>
          <a:ea typeface="+mn-ea"/>
          <a:cs typeface="+mn-cs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1289</Words>
  <Characters>7353</Characters>
  <Application>Microsoft Office Word</Application>
  <DocSecurity>0</DocSecurity>
  <Lines>61</Lines>
  <Paragraphs>17</Paragraphs>
  <ScaleCrop>false</ScaleCrop>
  <Company/>
  <LinksUpToDate>false</LinksUpToDate>
  <CharactersWithSpaces>8625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2018-10-11T10:29:00Z</dcterms:created>
  <dcterms:modified xsi:type="dcterms:W3CDTF">2018-10-11T10:30:00Z</dcterms:modified>
</cp:coreProperties>
</file>